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1E1" w:rsidRDefault="007371E1" w:rsidP="007371E1">
      <w:pPr>
        <w:rPr>
          <w:b/>
          <w:sz w:val="24"/>
          <w:szCs w:val="24"/>
        </w:rPr>
      </w:pPr>
      <w:r>
        <w:rPr>
          <w:b/>
          <w:sz w:val="24"/>
          <w:szCs w:val="24"/>
        </w:rPr>
        <w:t>Wyniki egzaminów, sprawdzianów i badań przeprowadzonych w pabianickich szkołach w roku szkolnym 2014/2015.</w:t>
      </w:r>
    </w:p>
    <w:p w:rsidR="007371E1" w:rsidRDefault="007371E1" w:rsidP="007371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roku szkolnym 2014/2015 przeprowadzono sprawdziany umiejętności uczniów organizowane przez Centralną Komisję Egzaminacyjną. W szkołach podstawowych przeprowadzono sprawdzian w klasie VI w zakresie wybranych umiejętności, a w gimnazjach przeprowadzono egzamin gimnazjalny w klasie trzeciej, gdzie badano umiejętności w części humanistycznej, </w:t>
      </w:r>
      <w:proofErr w:type="spellStart"/>
      <w:r>
        <w:rPr>
          <w:sz w:val="24"/>
          <w:szCs w:val="24"/>
        </w:rPr>
        <w:t>matematyczno</w:t>
      </w:r>
      <w:proofErr w:type="spellEnd"/>
      <w:r>
        <w:rPr>
          <w:sz w:val="24"/>
          <w:szCs w:val="24"/>
        </w:rPr>
        <w:t xml:space="preserve"> – przyrodniczej i językowej. Przedstawione niżej wyniki zestawiono z wynikami średnimi uczniów z całej Polski w celu porównania. </w:t>
      </w:r>
    </w:p>
    <w:p w:rsidR="007371E1" w:rsidRDefault="007371E1" w:rsidP="007371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Dane z egzaminów zewnętrznych uzyskane ze szkół oraz z opracowań wyników Okręgowej Komisji Egzaminacyjnej i Centralnej Komisji Egzaminacyjnej  posłużyły do wykonania wyliczeń procentowych w zakresie opanowania poszczególnych umiejętności i sumarycznych wyników. Po wykonaniu zbiorczych zestawień najistotniejsze wskaźniki zostały przedstawione w formie wykresów. </w:t>
      </w:r>
    </w:p>
    <w:p w:rsidR="007371E1" w:rsidRDefault="007371E1" w:rsidP="007371E1">
      <w:pPr>
        <w:ind w:left="-11"/>
        <w:jc w:val="both"/>
        <w:rPr>
          <w:sz w:val="24"/>
          <w:szCs w:val="24"/>
        </w:rPr>
      </w:pPr>
      <w:r>
        <w:rPr>
          <w:sz w:val="24"/>
          <w:szCs w:val="24"/>
        </w:rPr>
        <w:t>Wynik szkoły oraz wyniki za poszczególne umiejętności zostały obliczone, jako średnia arytmetyczna wyników wszystkich zdających w stosunku do maksymalnej liczby punktów możliwych do uzyskania za daną umiejętność wyrażoną w procentach. Średni wynik szkoły w danym roku został bezpośrednio zestawiony z wynikiem średnim dla kraju celem uzyskania wartości porównawczej. Dodatkowo na wyniki zostały nałożone dwa parametry określające poziomy przyswojenia umiejętności, które na podstawie analizy wyników i zadań zastosowanych na sprawdzianie CKE ustaliła, jako normy osiągnięć uczniów:</w:t>
      </w:r>
    </w:p>
    <w:p w:rsidR="007371E1" w:rsidRDefault="007371E1" w:rsidP="007371E1">
      <w:pPr>
        <w:pStyle w:val="Akapitzlist"/>
        <w:numPr>
          <w:ilvl w:val="0"/>
          <w:numId w:val="1"/>
        </w:numPr>
        <w:spacing w:after="120" w:line="240" w:lineRule="auto"/>
        <w:ind w:hanging="357"/>
        <w:jc w:val="both"/>
        <w:rPr>
          <w:sz w:val="24"/>
          <w:szCs w:val="24"/>
        </w:rPr>
      </w:pPr>
      <w:r>
        <w:rPr>
          <w:sz w:val="24"/>
          <w:szCs w:val="24"/>
        </w:rPr>
        <w:t>poziom zadowalający – 70% punktów możliwych do uzyskania</w:t>
      </w:r>
    </w:p>
    <w:p w:rsidR="007371E1" w:rsidRDefault="007371E1" w:rsidP="007371E1">
      <w:pPr>
        <w:pStyle w:val="Akapitzlist"/>
        <w:numPr>
          <w:ilvl w:val="0"/>
          <w:numId w:val="1"/>
        </w:numPr>
        <w:spacing w:after="120" w:line="240" w:lineRule="auto"/>
        <w:ind w:hanging="357"/>
        <w:jc w:val="both"/>
        <w:rPr>
          <w:sz w:val="24"/>
          <w:szCs w:val="24"/>
        </w:rPr>
      </w:pPr>
      <w:r>
        <w:rPr>
          <w:sz w:val="24"/>
          <w:szCs w:val="24"/>
        </w:rPr>
        <w:t>poziom konieczny  –  50% punktów możliwych do uzyskania</w:t>
      </w:r>
    </w:p>
    <w:p w:rsidR="007371E1" w:rsidRDefault="007371E1" w:rsidP="007371E1">
      <w:pPr>
        <w:jc w:val="both"/>
        <w:rPr>
          <w:sz w:val="24"/>
          <w:szCs w:val="24"/>
        </w:rPr>
      </w:pPr>
      <w:r>
        <w:rPr>
          <w:sz w:val="24"/>
          <w:szCs w:val="24"/>
        </w:rPr>
        <w:t>Uzyskanie wyniku powyżej 70% jest przyjęte, jako kryterium opanowanie danej umiejętności. Wynik testu w granicach 50% - 70% oznacza, że czynność jest opanowana w stopniu umiarkowanym. Natomiast wynik poniżej 50% oznacza, iż oceniana umiejętność nie jest przyswojona w stopniu zadowalającym.</w:t>
      </w:r>
    </w:p>
    <w:p w:rsidR="007371E1" w:rsidRPr="0068015A" w:rsidRDefault="007371E1" w:rsidP="007371E1">
      <w:pPr>
        <w:jc w:val="both"/>
        <w:rPr>
          <w:b/>
          <w:sz w:val="24"/>
          <w:szCs w:val="24"/>
        </w:rPr>
      </w:pPr>
      <w:r w:rsidRPr="0068015A">
        <w:rPr>
          <w:b/>
          <w:sz w:val="24"/>
          <w:szCs w:val="24"/>
        </w:rPr>
        <w:t>Sprawdzian w klasie VI szkoły podstawowej</w:t>
      </w:r>
    </w:p>
    <w:p w:rsidR="007371E1" w:rsidRDefault="007371E1" w:rsidP="007371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Celem przeprowadzenia sprawdzianu jest zbadanie poziomu opanowania umiejętności określonych w standardach wymagań. </w:t>
      </w:r>
    </w:p>
    <w:p w:rsidR="007371E1" w:rsidRPr="005B57DE" w:rsidRDefault="007371E1" w:rsidP="007371E1">
      <w:pPr>
        <w:jc w:val="both"/>
        <w:rPr>
          <w:b/>
          <w:sz w:val="24"/>
          <w:szCs w:val="24"/>
        </w:rPr>
      </w:pPr>
      <w:r w:rsidRPr="005B57DE">
        <w:rPr>
          <w:b/>
          <w:sz w:val="24"/>
          <w:szCs w:val="24"/>
        </w:rPr>
        <w:t>Część pierwsza</w:t>
      </w:r>
    </w:p>
    <w:p w:rsidR="007371E1" w:rsidRPr="007371E1" w:rsidRDefault="007371E1" w:rsidP="007371E1">
      <w:pPr>
        <w:jc w:val="both"/>
        <w:rPr>
          <w:sz w:val="24"/>
          <w:szCs w:val="24"/>
        </w:rPr>
      </w:pPr>
      <w:r>
        <w:rPr>
          <w:sz w:val="24"/>
          <w:szCs w:val="24"/>
        </w:rPr>
        <w:t>Arkusz egzaminacyjny w wersji standardowej zawierał 27 zadań, w tym 13 z języka polskiego i 14 z matematyki. Były to zadania sprawdzające umiejętności złożone, w tym analizowanie i interpretowanie informacji, planowanie i realizowanie rozwiązania. Wśród zadań zamkniętych występowały: zadania wyboru wielokrotnego, zadania typu prawda–fałsz oraz zadania na dobieranie.</w:t>
      </w:r>
      <w:r>
        <w:rPr>
          <w:sz w:val="24"/>
          <w:szCs w:val="24"/>
        </w:rPr>
        <w:t xml:space="preserve"> </w:t>
      </w:r>
      <w:r w:rsidRPr="00D856E3">
        <w:rPr>
          <w:rFonts w:ascii="Calibri" w:eastAsia="Times New Roman" w:hAnsi="Calibri" w:cs="Arial"/>
          <w:sz w:val="24"/>
          <w:szCs w:val="25"/>
          <w:lang w:eastAsia="pl-PL"/>
        </w:rPr>
        <w:t xml:space="preserve">Podstawę zadań zamkniętych i zadania otwartego krótkiej odpowiedzi z języka polskiego stanowił tekst publicystyczny z kontekstem przyrodniczym. Zadanie sprawdzające umiejętność tworzenia tekstu polegało na napisaniu opowiadania twórczego. </w:t>
      </w:r>
    </w:p>
    <w:p w:rsidR="007371E1" w:rsidRPr="00D856E3" w:rsidRDefault="007371E1" w:rsidP="007371E1">
      <w:pPr>
        <w:spacing w:after="0"/>
        <w:jc w:val="both"/>
        <w:rPr>
          <w:rFonts w:ascii="Calibri" w:eastAsia="Times New Roman" w:hAnsi="Calibri" w:cs="Arial"/>
          <w:sz w:val="24"/>
          <w:szCs w:val="25"/>
          <w:lang w:eastAsia="pl-PL"/>
        </w:rPr>
      </w:pPr>
      <w:r w:rsidRPr="00D856E3">
        <w:rPr>
          <w:rFonts w:ascii="Calibri" w:eastAsia="Times New Roman" w:hAnsi="Calibri" w:cs="Arial"/>
          <w:sz w:val="24"/>
          <w:szCs w:val="25"/>
          <w:lang w:eastAsia="pl-PL"/>
        </w:rPr>
        <w:lastRenderedPageBreak/>
        <w:t xml:space="preserve">Z zakresu matematyki dominowały zadania osadzone w kontekście praktycznym. </w:t>
      </w:r>
      <w:r>
        <w:rPr>
          <w:rFonts w:ascii="Calibri" w:eastAsia="Times New Roman" w:hAnsi="Calibri" w:cs="Arial"/>
          <w:sz w:val="24"/>
          <w:szCs w:val="25"/>
          <w:lang w:eastAsia="pl-PL"/>
        </w:rPr>
        <w:t>U</w:t>
      </w:r>
      <w:r w:rsidRPr="00D856E3">
        <w:rPr>
          <w:rFonts w:ascii="Calibri" w:eastAsia="Times New Roman" w:hAnsi="Calibri" w:cs="Arial"/>
          <w:sz w:val="24"/>
          <w:szCs w:val="25"/>
          <w:lang w:eastAsia="pl-PL"/>
        </w:rPr>
        <w:t>zupełniono je rysunkami, tabelami i wykresem. Zadania otwarte wymagały od ucznia samodzielnego sformułowania rozwiązania.</w:t>
      </w:r>
    </w:p>
    <w:p w:rsidR="007371E1" w:rsidRPr="00D856E3" w:rsidRDefault="007371E1" w:rsidP="007371E1">
      <w:pPr>
        <w:spacing w:after="0"/>
        <w:jc w:val="both"/>
        <w:rPr>
          <w:rFonts w:ascii="Calibri" w:eastAsia="Times New Roman" w:hAnsi="Calibri" w:cs="Arial"/>
          <w:sz w:val="24"/>
          <w:szCs w:val="25"/>
          <w:lang w:eastAsia="pl-PL"/>
        </w:rPr>
      </w:pPr>
      <w:r w:rsidRPr="00D856E3">
        <w:rPr>
          <w:rFonts w:ascii="Calibri" w:eastAsia="Times New Roman" w:hAnsi="Calibri" w:cs="Arial"/>
          <w:sz w:val="24"/>
          <w:szCs w:val="25"/>
          <w:lang w:eastAsia="pl-PL"/>
        </w:rPr>
        <w:t>Za poprawne wykonanie wszystkich zadań uczeń mógł otrzymać 41 punktów, w tym 21 punktów z języka polskiego i 20 punktów z matematyki.</w:t>
      </w:r>
    </w:p>
    <w:p w:rsidR="007371E1" w:rsidRDefault="007371E1" w:rsidP="007371E1">
      <w:pPr>
        <w:tabs>
          <w:tab w:val="left" w:pos="708"/>
        </w:tabs>
        <w:ind w:left="-12"/>
        <w:jc w:val="both"/>
        <w:rPr>
          <w:sz w:val="24"/>
          <w:szCs w:val="24"/>
        </w:rPr>
      </w:pPr>
      <w:r>
        <w:rPr>
          <w:sz w:val="24"/>
          <w:szCs w:val="24"/>
        </w:rPr>
        <w:t>Z przedstawionych wyżej wyników uzyskanych przez uczniów za opanowanie poszczególnych umiejętności zsumowano wyniki punktowe i z postaci średnich arytmetycznych dla poszczególnych szkół przeliczono na wartości procentowe. Końcowe wyniki sprawdzianów zostały zobrazowane na wykresach poniżej.</w:t>
      </w:r>
    </w:p>
    <w:p w:rsidR="007371E1" w:rsidRDefault="007371E1" w:rsidP="007371E1">
      <w:pPr>
        <w:tabs>
          <w:tab w:val="left" w:pos="708"/>
        </w:tabs>
        <w:ind w:left="-12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C37C657" wp14:editId="42C0BCFD">
            <wp:extent cx="5760720" cy="2502535"/>
            <wp:effectExtent l="0" t="0" r="11430" b="1206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371E1" w:rsidRDefault="007371E1" w:rsidP="007371E1">
      <w:pPr>
        <w:jc w:val="both"/>
        <w:rPr>
          <w:sz w:val="24"/>
          <w:szCs w:val="24"/>
        </w:rPr>
      </w:pPr>
      <w:r w:rsidRPr="0042597B">
        <w:rPr>
          <w:sz w:val="24"/>
          <w:szCs w:val="24"/>
        </w:rPr>
        <w:t>Wyniki tego sprawdzianu</w:t>
      </w:r>
      <w:r>
        <w:rPr>
          <w:sz w:val="24"/>
          <w:szCs w:val="24"/>
        </w:rPr>
        <w:t xml:space="preserve"> są zbliżone do średniej krajowej. Najlepiej sprawdzian napisali uczniowie SP-9. Słabiej wypadły wyniki w SP-3. </w:t>
      </w:r>
    </w:p>
    <w:p w:rsidR="007371E1" w:rsidRDefault="007371E1" w:rsidP="007371E1">
      <w:pPr>
        <w:jc w:val="both"/>
        <w:rPr>
          <w:sz w:val="24"/>
          <w:szCs w:val="24"/>
        </w:rPr>
      </w:pPr>
      <w:r>
        <w:rPr>
          <w:sz w:val="24"/>
          <w:szCs w:val="24"/>
        </w:rPr>
        <w:t>Zestawiono również wyniki sprawdzianu w poszczególnych oddziałach.</w:t>
      </w:r>
    </w:p>
    <w:p w:rsidR="007371E1" w:rsidRDefault="007371E1" w:rsidP="007371E1">
      <w:pPr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1F1764" wp14:editId="7ED13D3A">
            <wp:extent cx="5760720" cy="3152775"/>
            <wp:effectExtent l="0" t="0" r="11430" b="952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371E1" w:rsidRDefault="007371E1" w:rsidP="007371E1">
      <w:pPr>
        <w:jc w:val="both"/>
        <w:rPr>
          <w:sz w:val="24"/>
          <w:szCs w:val="24"/>
        </w:rPr>
      </w:pPr>
      <w:r w:rsidRPr="009E67D4">
        <w:rPr>
          <w:sz w:val="24"/>
          <w:szCs w:val="24"/>
        </w:rPr>
        <w:lastRenderedPageBreak/>
        <w:t>Najlepiej sprawdzian napisali uczniowie</w:t>
      </w:r>
      <w:r>
        <w:rPr>
          <w:sz w:val="24"/>
          <w:szCs w:val="24"/>
        </w:rPr>
        <w:t xml:space="preserve"> klasy 6b w SP-1 z wynikiem 72,1% i 6c z SP-17 z wynikiem 72,0% oraz 6b z SP-8 z wynikiem 71,9%.</w:t>
      </w:r>
    </w:p>
    <w:p w:rsidR="007371E1" w:rsidRPr="005B57DE" w:rsidRDefault="007371E1" w:rsidP="007371E1">
      <w:pPr>
        <w:jc w:val="both"/>
        <w:rPr>
          <w:b/>
          <w:sz w:val="24"/>
          <w:szCs w:val="24"/>
        </w:rPr>
      </w:pPr>
      <w:r w:rsidRPr="005B57DE">
        <w:rPr>
          <w:b/>
          <w:sz w:val="24"/>
          <w:szCs w:val="24"/>
        </w:rPr>
        <w:t>Część druga</w:t>
      </w:r>
    </w:p>
    <w:p w:rsidR="007371E1" w:rsidRPr="007A1F24" w:rsidRDefault="007371E1" w:rsidP="007371E1">
      <w:pPr>
        <w:jc w:val="both"/>
        <w:rPr>
          <w:sz w:val="24"/>
          <w:szCs w:val="24"/>
        </w:rPr>
      </w:pPr>
      <w:r w:rsidRPr="007A1F24">
        <w:rPr>
          <w:sz w:val="24"/>
          <w:szCs w:val="24"/>
        </w:rPr>
        <w:t>Szóstoklasiści przystępujący do sprawdzianu w 2015 r. po raz pierwszy rozwiązywali zadania</w:t>
      </w:r>
      <w:r>
        <w:rPr>
          <w:sz w:val="24"/>
          <w:szCs w:val="24"/>
        </w:rPr>
        <w:t xml:space="preserve"> </w:t>
      </w:r>
      <w:r w:rsidRPr="007A1F24">
        <w:rPr>
          <w:sz w:val="24"/>
          <w:szCs w:val="24"/>
        </w:rPr>
        <w:t>sprawdzające znajomość języka obcego nowożytnego. Zadania te sprawdzały opanowanie umiejętności językowych w zakresie następujących obszarów:</w:t>
      </w:r>
    </w:p>
    <w:p w:rsidR="007371E1" w:rsidRPr="007A1F24" w:rsidRDefault="007371E1" w:rsidP="007371E1">
      <w:pPr>
        <w:jc w:val="both"/>
        <w:rPr>
          <w:sz w:val="24"/>
          <w:szCs w:val="24"/>
        </w:rPr>
      </w:pPr>
      <w:r w:rsidRPr="007A1F24">
        <w:rPr>
          <w:sz w:val="24"/>
          <w:szCs w:val="24"/>
        </w:rPr>
        <w:sym w:font="Symbol" w:char="F0B7"/>
      </w:r>
      <w:r>
        <w:rPr>
          <w:sz w:val="24"/>
          <w:szCs w:val="24"/>
        </w:rPr>
        <w:t xml:space="preserve"> </w:t>
      </w:r>
      <w:r w:rsidRPr="007A1F24">
        <w:rPr>
          <w:sz w:val="24"/>
          <w:szCs w:val="24"/>
        </w:rPr>
        <w:t>rozumienie ze słuchu</w:t>
      </w:r>
    </w:p>
    <w:p w:rsidR="007371E1" w:rsidRPr="007A1F24" w:rsidRDefault="007371E1" w:rsidP="007371E1">
      <w:pPr>
        <w:jc w:val="both"/>
        <w:rPr>
          <w:sz w:val="24"/>
          <w:szCs w:val="24"/>
        </w:rPr>
      </w:pPr>
      <w:r w:rsidRPr="007A1F24">
        <w:rPr>
          <w:sz w:val="24"/>
          <w:szCs w:val="24"/>
        </w:rPr>
        <w:sym w:font="Symbol" w:char="F0B7"/>
      </w:r>
      <w:r>
        <w:rPr>
          <w:sz w:val="24"/>
          <w:szCs w:val="24"/>
        </w:rPr>
        <w:t xml:space="preserve"> </w:t>
      </w:r>
      <w:r w:rsidRPr="007A1F24">
        <w:rPr>
          <w:sz w:val="24"/>
          <w:szCs w:val="24"/>
        </w:rPr>
        <w:t>znajomość funkcji językowych</w:t>
      </w:r>
    </w:p>
    <w:p w:rsidR="007371E1" w:rsidRPr="007A1F24" w:rsidRDefault="007371E1" w:rsidP="007371E1">
      <w:pPr>
        <w:jc w:val="both"/>
        <w:rPr>
          <w:sz w:val="24"/>
          <w:szCs w:val="24"/>
        </w:rPr>
      </w:pPr>
      <w:r w:rsidRPr="007A1F24">
        <w:rPr>
          <w:sz w:val="24"/>
          <w:szCs w:val="24"/>
        </w:rPr>
        <w:sym w:font="Symbol" w:char="F0B7"/>
      </w:r>
      <w:r>
        <w:rPr>
          <w:sz w:val="24"/>
          <w:szCs w:val="24"/>
        </w:rPr>
        <w:t xml:space="preserve"> </w:t>
      </w:r>
      <w:r w:rsidRPr="007A1F24">
        <w:rPr>
          <w:sz w:val="24"/>
          <w:szCs w:val="24"/>
        </w:rPr>
        <w:t>znajomość środków językowych</w:t>
      </w:r>
    </w:p>
    <w:p w:rsidR="007371E1" w:rsidRPr="007A1F24" w:rsidRDefault="007371E1" w:rsidP="007371E1">
      <w:pPr>
        <w:jc w:val="both"/>
        <w:rPr>
          <w:sz w:val="24"/>
          <w:szCs w:val="24"/>
        </w:rPr>
      </w:pPr>
      <w:r w:rsidRPr="007A1F24">
        <w:rPr>
          <w:sz w:val="24"/>
          <w:szCs w:val="24"/>
        </w:rPr>
        <w:sym w:font="Symbol" w:char="F0B7"/>
      </w:r>
      <w:r>
        <w:rPr>
          <w:sz w:val="24"/>
          <w:szCs w:val="24"/>
        </w:rPr>
        <w:t xml:space="preserve"> </w:t>
      </w:r>
      <w:r w:rsidRPr="007A1F24">
        <w:rPr>
          <w:sz w:val="24"/>
          <w:szCs w:val="24"/>
        </w:rPr>
        <w:t>rozumienie tekstów pisanych.</w:t>
      </w:r>
    </w:p>
    <w:p w:rsidR="007371E1" w:rsidRPr="007A1F24" w:rsidRDefault="007371E1" w:rsidP="007371E1">
      <w:pPr>
        <w:spacing w:after="0" w:line="240" w:lineRule="auto"/>
        <w:jc w:val="both"/>
        <w:rPr>
          <w:rFonts w:ascii="Calibri" w:eastAsia="Times New Roman" w:hAnsi="Calibri" w:cs="Arial"/>
          <w:sz w:val="24"/>
          <w:szCs w:val="24"/>
          <w:lang w:eastAsia="pl-PL"/>
        </w:rPr>
      </w:pPr>
      <w:r w:rsidRPr="007A1F24">
        <w:rPr>
          <w:rFonts w:ascii="Calibri" w:eastAsia="Times New Roman" w:hAnsi="Calibri" w:cs="Arial"/>
          <w:sz w:val="24"/>
          <w:szCs w:val="24"/>
          <w:lang w:eastAsia="pl-PL"/>
        </w:rPr>
        <w:t xml:space="preserve">Arkusz składał się z 40 zadań zamkniętych różnego typu (wyboru wielokrotnego, prawda/fałsz oraz zadań na dobieranie) ujętych w 11 wiązek. Zadania sprawdzały wiadomości oraz umiejętności określone w podstawie programowej kształcenia ogólnego dla II etapu edukacyjnego w czterech obszarach: rozumienie ze słuchu (15 zadań), rozumienie tekstów pisanych (11 zadań), znajomość funkcji językowych (8 zadań) oraz znajomość środków językowych (6 zadań). </w:t>
      </w:r>
    </w:p>
    <w:p w:rsidR="007371E1" w:rsidRPr="007A1F24" w:rsidRDefault="007371E1" w:rsidP="007371E1">
      <w:pPr>
        <w:spacing w:after="0" w:line="240" w:lineRule="auto"/>
        <w:jc w:val="both"/>
        <w:rPr>
          <w:rFonts w:ascii="Calibri" w:eastAsia="Times New Roman" w:hAnsi="Calibri" w:cs="Arial"/>
          <w:sz w:val="24"/>
          <w:szCs w:val="24"/>
          <w:lang w:eastAsia="pl-PL"/>
        </w:rPr>
      </w:pPr>
      <w:r w:rsidRPr="007A1F24">
        <w:rPr>
          <w:rFonts w:ascii="Calibri" w:eastAsia="Times New Roman" w:hAnsi="Calibri" w:cs="Arial"/>
          <w:sz w:val="24"/>
          <w:szCs w:val="24"/>
          <w:lang w:eastAsia="pl-PL"/>
        </w:rPr>
        <w:t>Za poprawne rozwiązanie wszystkich zadań uczeń mógł otrzymać 40 punktów.</w:t>
      </w:r>
    </w:p>
    <w:p w:rsidR="007371E1" w:rsidRPr="007A1F24" w:rsidRDefault="007371E1" w:rsidP="007371E1">
      <w:pPr>
        <w:jc w:val="both"/>
        <w:rPr>
          <w:rFonts w:ascii="Calibri" w:hAnsi="Calibri"/>
          <w:sz w:val="24"/>
          <w:szCs w:val="24"/>
        </w:rPr>
      </w:pPr>
    </w:p>
    <w:p w:rsidR="007371E1" w:rsidRDefault="007371E1" w:rsidP="007371E1">
      <w:pPr>
        <w:jc w:val="both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C26DB79" wp14:editId="39BE7F1C">
            <wp:extent cx="5760720" cy="3228975"/>
            <wp:effectExtent l="0" t="0" r="11430" b="9525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371E1" w:rsidRPr="004637F3" w:rsidRDefault="007371E1" w:rsidP="007371E1">
      <w:pPr>
        <w:jc w:val="both"/>
        <w:rPr>
          <w:sz w:val="24"/>
          <w:szCs w:val="24"/>
        </w:rPr>
      </w:pPr>
      <w:r>
        <w:rPr>
          <w:sz w:val="24"/>
          <w:szCs w:val="24"/>
        </w:rPr>
        <w:t>Uczniowie pięciu</w:t>
      </w:r>
      <w:r w:rsidRPr="004637F3">
        <w:rPr>
          <w:sz w:val="24"/>
          <w:szCs w:val="24"/>
        </w:rPr>
        <w:t xml:space="preserve"> pabianickich szkół </w:t>
      </w:r>
      <w:r>
        <w:rPr>
          <w:sz w:val="24"/>
          <w:szCs w:val="24"/>
        </w:rPr>
        <w:t xml:space="preserve">podstawowych </w:t>
      </w:r>
      <w:r w:rsidRPr="004637F3">
        <w:rPr>
          <w:sz w:val="24"/>
          <w:szCs w:val="24"/>
        </w:rPr>
        <w:t>uzyskało wynik powyżej średniej</w:t>
      </w:r>
      <w:r>
        <w:rPr>
          <w:sz w:val="24"/>
          <w:szCs w:val="24"/>
        </w:rPr>
        <w:t xml:space="preserve"> krajowej</w:t>
      </w:r>
      <w:r w:rsidRPr="004637F3">
        <w:rPr>
          <w:sz w:val="24"/>
          <w:szCs w:val="24"/>
        </w:rPr>
        <w:t>, a trz</w:t>
      </w:r>
      <w:r>
        <w:rPr>
          <w:sz w:val="24"/>
          <w:szCs w:val="24"/>
        </w:rPr>
        <w:t>ech</w:t>
      </w:r>
      <w:r w:rsidRPr="004637F3">
        <w:rPr>
          <w:sz w:val="24"/>
          <w:szCs w:val="24"/>
        </w:rPr>
        <w:t xml:space="preserve"> poniżej</w:t>
      </w:r>
      <w:r>
        <w:rPr>
          <w:sz w:val="24"/>
          <w:szCs w:val="24"/>
        </w:rPr>
        <w:t>.</w:t>
      </w:r>
    </w:p>
    <w:p w:rsidR="007371E1" w:rsidRDefault="007371E1" w:rsidP="007371E1">
      <w:pPr>
        <w:jc w:val="both"/>
        <w:rPr>
          <w:b/>
          <w:sz w:val="24"/>
          <w:szCs w:val="24"/>
        </w:rPr>
      </w:pPr>
    </w:p>
    <w:p w:rsidR="007371E1" w:rsidRPr="0068015A" w:rsidRDefault="007371E1" w:rsidP="007371E1">
      <w:pPr>
        <w:jc w:val="both"/>
        <w:rPr>
          <w:b/>
          <w:sz w:val="24"/>
          <w:szCs w:val="24"/>
        </w:rPr>
      </w:pPr>
      <w:r w:rsidRPr="0068015A">
        <w:rPr>
          <w:b/>
          <w:sz w:val="24"/>
          <w:szCs w:val="24"/>
        </w:rPr>
        <w:lastRenderedPageBreak/>
        <w:t>Egzamin gimnazjalny</w:t>
      </w:r>
    </w:p>
    <w:p w:rsidR="007371E1" w:rsidRDefault="007371E1" w:rsidP="007371E1">
      <w:pPr>
        <w:tabs>
          <w:tab w:val="left" w:pos="708"/>
        </w:tabs>
        <w:ind w:left="-12"/>
        <w:jc w:val="both"/>
        <w:rPr>
          <w:sz w:val="24"/>
          <w:szCs w:val="24"/>
        </w:rPr>
      </w:pPr>
      <w:r>
        <w:rPr>
          <w:sz w:val="24"/>
          <w:szCs w:val="24"/>
        </w:rPr>
        <w:t>Egzamin ten jest przeprowadzany w klasie III gimnazjum na koniec tego etapu kształcenia. W ramach egzaminu przeprowadzono badanie w trzech częściach w ciągu 3 dni.</w:t>
      </w:r>
    </w:p>
    <w:p w:rsidR="007371E1" w:rsidRDefault="007371E1" w:rsidP="007371E1">
      <w:pPr>
        <w:tabs>
          <w:tab w:val="left" w:pos="708"/>
        </w:tabs>
        <w:spacing w:after="120" w:line="240" w:lineRule="auto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I.  Część humanistyczna</w:t>
      </w:r>
    </w:p>
    <w:p w:rsidR="007371E1" w:rsidRDefault="007371E1" w:rsidP="007371E1">
      <w:pPr>
        <w:numPr>
          <w:ilvl w:val="0"/>
          <w:numId w:val="2"/>
        </w:numPr>
        <w:tabs>
          <w:tab w:val="num" w:pos="720"/>
        </w:tabs>
        <w:spacing w:after="120" w:line="240" w:lineRule="auto"/>
        <w:ind w:left="1412" w:hanging="1055"/>
        <w:jc w:val="both"/>
        <w:rPr>
          <w:sz w:val="24"/>
          <w:szCs w:val="24"/>
        </w:rPr>
      </w:pPr>
      <w:r>
        <w:rPr>
          <w:sz w:val="24"/>
          <w:szCs w:val="24"/>
        </w:rPr>
        <w:t>z zakresu historii i wiedzy o społeczeństwie,</w:t>
      </w:r>
    </w:p>
    <w:p w:rsidR="007371E1" w:rsidRDefault="007371E1" w:rsidP="007371E1">
      <w:pPr>
        <w:numPr>
          <w:ilvl w:val="0"/>
          <w:numId w:val="2"/>
        </w:numPr>
        <w:tabs>
          <w:tab w:val="num" w:pos="720"/>
        </w:tabs>
        <w:spacing w:after="120" w:line="240" w:lineRule="auto"/>
        <w:ind w:left="1412" w:hanging="1055"/>
        <w:jc w:val="both"/>
        <w:rPr>
          <w:sz w:val="24"/>
          <w:szCs w:val="24"/>
        </w:rPr>
      </w:pPr>
      <w:r>
        <w:rPr>
          <w:sz w:val="24"/>
          <w:szCs w:val="24"/>
        </w:rPr>
        <w:t>z zakresu języka polskiego,</w:t>
      </w:r>
    </w:p>
    <w:p w:rsidR="007371E1" w:rsidRDefault="007371E1" w:rsidP="007371E1">
      <w:pPr>
        <w:ind w:left="-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II.  Część </w:t>
      </w:r>
      <w:proofErr w:type="spellStart"/>
      <w:r>
        <w:rPr>
          <w:sz w:val="24"/>
          <w:szCs w:val="24"/>
        </w:rPr>
        <w:t>matematyczno</w:t>
      </w:r>
      <w:proofErr w:type="spellEnd"/>
      <w:r>
        <w:rPr>
          <w:sz w:val="24"/>
          <w:szCs w:val="24"/>
        </w:rPr>
        <w:t xml:space="preserve"> - przyrodnicza</w:t>
      </w:r>
    </w:p>
    <w:p w:rsidR="007371E1" w:rsidRDefault="007371E1" w:rsidP="007371E1">
      <w:pPr>
        <w:numPr>
          <w:ilvl w:val="0"/>
          <w:numId w:val="2"/>
        </w:numPr>
        <w:tabs>
          <w:tab w:val="num" w:pos="720"/>
        </w:tabs>
        <w:spacing w:after="120" w:line="240" w:lineRule="auto"/>
        <w:ind w:left="709" w:hanging="352"/>
        <w:jc w:val="both"/>
        <w:rPr>
          <w:sz w:val="24"/>
          <w:szCs w:val="24"/>
        </w:rPr>
      </w:pPr>
      <w:r>
        <w:rPr>
          <w:sz w:val="24"/>
          <w:szCs w:val="24"/>
        </w:rPr>
        <w:t>z zakresu przedmiotów przyrodniczych (biologia, chemia, fizyka, geografia),</w:t>
      </w:r>
    </w:p>
    <w:p w:rsidR="007371E1" w:rsidRDefault="007371E1" w:rsidP="007371E1">
      <w:pPr>
        <w:numPr>
          <w:ilvl w:val="0"/>
          <w:numId w:val="2"/>
        </w:numPr>
        <w:tabs>
          <w:tab w:val="num" w:pos="720"/>
        </w:tabs>
        <w:spacing w:after="120" w:line="240" w:lineRule="auto"/>
        <w:ind w:left="1412" w:hanging="1055"/>
        <w:jc w:val="both"/>
        <w:rPr>
          <w:sz w:val="24"/>
          <w:szCs w:val="24"/>
        </w:rPr>
      </w:pPr>
      <w:r>
        <w:rPr>
          <w:sz w:val="24"/>
          <w:szCs w:val="24"/>
        </w:rPr>
        <w:t>z zakresu matematyki,</w:t>
      </w:r>
    </w:p>
    <w:p w:rsidR="007371E1" w:rsidRDefault="007371E1" w:rsidP="007371E1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III. Część z języka obcego nowożytnego</w:t>
      </w:r>
    </w:p>
    <w:p w:rsidR="007371E1" w:rsidRDefault="007371E1" w:rsidP="007371E1">
      <w:pPr>
        <w:numPr>
          <w:ilvl w:val="0"/>
          <w:numId w:val="2"/>
        </w:numPr>
        <w:tabs>
          <w:tab w:val="num" w:pos="720"/>
        </w:tabs>
        <w:spacing w:after="120" w:line="240" w:lineRule="auto"/>
        <w:ind w:left="709" w:hanging="352"/>
        <w:jc w:val="both"/>
        <w:rPr>
          <w:sz w:val="24"/>
          <w:szCs w:val="24"/>
        </w:rPr>
      </w:pPr>
      <w:r>
        <w:rPr>
          <w:sz w:val="24"/>
          <w:szCs w:val="24"/>
        </w:rPr>
        <w:t>na poziomie podstawowym,</w:t>
      </w:r>
    </w:p>
    <w:p w:rsidR="007371E1" w:rsidRDefault="007371E1" w:rsidP="007371E1">
      <w:pPr>
        <w:numPr>
          <w:ilvl w:val="0"/>
          <w:numId w:val="2"/>
        </w:numPr>
        <w:tabs>
          <w:tab w:val="num" w:pos="720"/>
        </w:tabs>
        <w:spacing w:after="120" w:line="240" w:lineRule="auto"/>
        <w:ind w:left="709" w:hanging="3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poziomie rozszerzonym,      </w:t>
      </w:r>
    </w:p>
    <w:p w:rsidR="007371E1" w:rsidRDefault="007371E1" w:rsidP="007371E1">
      <w:pPr>
        <w:spacing w:after="120" w:line="240" w:lineRule="auto"/>
        <w:ind w:left="357" w:hanging="357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C1F19F4" wp14:editId="30339C1B">
            <wp:extent cx="5563235" cy="2857500"/>
            <wp:effectExtent l="0" t="0" r="18415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bookmarkStart w:id="0" w:name="_GoBack"/>
      <w:bookmarkEnd w:id="0"/>
    </w:p>
    <w:p w:rsidR="007371E1" w:rsidRDefault="007371E1" w:rsidP="007371E1">
      <w:pPr>
        <w:spacing w:after="120" w:line="240" w:lineRule="auto"/>
        <w:ind w:left="357" w:hanging="357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6F871F4" wp14:editId="443875AE">
            <wp:extent cx="5591175" cy="2695575"/>
            <wp:effectExtent l="0" t="0" r="9525" b="9525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371E1" w:rsidRPr="006C3C0E" w:rsidRDefault="007371E1" w:rsidP="007371E1">
      <w:pPr>
        <w:jc w:val="both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5077E76" wp14:editId="4B8B3E12">
            <wp:extent cx="5591628" cy="2766333"/>
            <wp:effectExtent l="0" t="0" r="9525" b="1524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371E1" w:rsidRDefault="007371E1" w:rsidP="007371E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Można zauważyć dość duże zróżnicowanie wyników poszczególnych placówek. Najlepiej z egzaminem poradzili sobie uczniowie z G-1 i 3, a słabiej z G-2.</w:t>
      </w:r>
    </w:p>
    <w:p w:rsidR="007371E1" w:rsidRDefault="007371E1" w:rsidP="007371E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Poniżej zestawiono wyniki wszystkich klas III pabianickich gimnazjów. </w:t>
      </w:r>
    </w:p>
    <w:p w:rsidR="007371E1" w:rsidRDefault="007371E1" w:rsidP="007371E1">
      <w:pPr>
        <w:jc w:val="both"/>
        <w:rPr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7D92423" wp14:editId="204C2643">
            <wp:extent cx="5760720" cy="3364865"/>
            <wp:effectExtent l="0" t="0" r="11430" b="698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371E1" w:rsidRPr="000F5B00" w:rsidRDefault="007371E1" w:rsidP="007371E1">
      <w:pPr>
        <w:jc w:val="both"/>
        <w:rPr>
          <w:bCs/>
          <w:sz w:val="24"/>
          <w:szCs w:val="24"/>
        </w:rPr>
      </w:pPr>
    </w:p>
    <w:p w:rsidR="007371E1" w:rsidRPr="003F25BC" w:rsidRDefault="007371E1" w:rsidP="007371E1">
      <w:pPr>
        <w:jc w:val="both"/>
        <w:rPr>
          <w:bCs/>
          <w:sz w:val="24"/>
          <w:szCs w:val="24"/>
        </w:rPr>
      </w:pPr>
      <w:r w:rsidRPr="003F25BC">
        <w:rPr>
          <w:bCs/>
          <w:sz w:val="24"/>
          <w:szCs w:val="24"/>
        </w:rPr>
        <w:t>Najlepiej z egzaminem poradzili sobie uczniowie klasy</w:t>
      </w:r>
      <w:r>
        <w:rPr>
          <w:bCs/>
          <w:sz w:val="24"/>
          <w:szCs w:val="24"/>
        </w:rPr>
        <w:t xml:space="preserve"> 3a z G-3 osiągając wynik 68,07%.</w:t>
      </w:r>
    </w:p>
    <w:p w:rsidR="007371E1" w:rsidRDefault="007371E1" w:rsidP="007371E1">
      <w:pPr>
        <w:jc w:val="both"/>
        <w:rPr>
          <w:sz w:val="24"/>
          <w:szCs w:val="24"/>
        </w:rPr>
      </w:pPr>
      <w:r>
        <w:rPr>
          <w:sz w:val="24"/>
          <w:szCs w:val="24"/>
        </w:rPr>
        <w:t>W czasie egzaminu gimnazjalnego badano również poziom opanowania umiejętności z języków obcych. Do sprawozdania dołączono wyniki egzaminu z języka angielskiego poziomu podstawowego, który pisali wszyscy uczniowie.</w:t>
      </w:r>
    </w:p>
    <w:p w:rsidR="007371E1" w:rsidRDefault="007371E1" w:rsidP="007371E1">
      <w:pPr>
        <w:jc w:val="both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464A020" wp14:editId="435F9F8D">
            <wp:extent cx="5772150" cy="2696210"/>
            <wp:effectExtent l="0" t="0" r="0" b="889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371E1" w:rsidRDefault="007371E1" w:rsidP="007371E1">
      <w:pPr>
        <w:jc w:val="both"/>
        <w:rPr>
          <w:sz w:val="24"/>
          <w:szCs w:val="24"/>
        </w:rPr>
      </w:pPr>
      <w:r>
        <w:rPr>
          <w:sz w:val="24"/>
          <w:szCs w:val="24"/>
        </w:rPr>
        <w:t>Uczniowie Gim. nr 1 i 3 osiągnęli wyniki powyżej średniej krajowej a uczniowie Gim. nr 2 poniżej</w:t>
      </w:r>
    </w:p>
    <w:p w:rsidR="007371E1" w:rsidRDefault="007371E1" w:rsidP="007371E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Podsumowanie</w:t>
      </w:r>
    </w:p>
    <w:p w:rsidR="007371E1" w:rsidRDefault="007371E1" w:rsidP="007371E1">
      <w:pPr>
        <w:jc w:val="both"/>
        <w:rPr>
          <w:sz w:val="24"/>
          <w:szCs w:val="24"/>
        </w:rPr>
      </w:pPr>
      <w:r>
        <w:rPr>
          <w:sz w:val="24"/>
          <w:szCs w:val="24"/>
        </w:rPr>
        <w:t>Wyniki tegorocznych sprawdzianów i egzaminów są podobne do lat poprzednich. Cieszy szczególnie wyrównanie wyników osiąganych przez uczniów wszystkich szkół podstawowych. Wyniki gimnazjów również należy ocenić pozytywnie.</w:t>
      </w:r>
    </w:p>
    <w:p w:rsidR="0029501A" w:rsidRDefault="0029501A"/>
    <w:sectPr w:rsidR="0029501A" w:rsidSect="007371E1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742C18"/>
    <w:multiLevelType w:val="hybridMultilevel"/>
    <w:tmpl w:val="49A6ED9C"/>
    <w:lvl w:ilvl="0" w:tplc="27A8D66C">
      <w:start w:val="1"/>
      <w:numFmt w:val="bullet"/>
      <w:lvlText w:val=""/>
      <w:lvlJc w:val="left"/>
      <w:pPr>
        <w:tabs>
          <w:tab w:val="num" w:pos="1416"/>
        </w:tabs>
        <w:ind w:left="1416" w:hanging="360"/>
      </w:pPr>
      <w:rPr>
        <w:rFonts w:ascii="Symbol" w:hAnsi="Symbol" w:hint="default"/>
        <w:b/>
        <w:i w:val="0"/>
        <w:sz w:val="24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DE278E"/>
    <w:multiLevelType w:val="hybridMultilevel"/>
    <w:tmpl w:val="72443636"/>
    <w:lvl w:ilvl="0" w:tplc="A600DF68">
      <w:start w:val="1"/>
      <w:numFmt w:val="bullet"/>
      <w:lvlText w:val=""/>
      <w:lvlJc w:val="left"/>
      <w:pPr>
        <w:ind w:left="70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1E1"/>
    <w:rsid w:val="001725CD"/>
    <w:rsid w:val="0029501A"/>
    <w:rsid w:val="0073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38E2A-EB44-4B61-8B14-8E8B8D30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71E1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371E1"/>
    <w:pPr>
      <w:ind w:left="72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l-PL"/>
              <a:t>Łączny wynik sprawdzianu kl. VI w 2015 r.</a:t>
            </a:r>
          </a:p>
        </c:rich>
      </c:tx>
      <c:layout>
        <c:manualLayout>
          <c:xMode val="edge"/>
          <c:yMode val="edge"/>
          <c:x val="0.28454160943145052"/>
          <c:y val="3.512890887341369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209455673649212"/>
          <c:y val="0.13251794812413442"/>
          <c:w val="0.75439632545931767"/>
          <c:h val="0.726486720805459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79646">
                <a:lumMod val="75000"/>
              </a:srgb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8"/>
            <c:invertIfNegative val="0"/>
            <c:bubble3D val="0"/>
            <c:spPr>
              <a:solidFill>
                <a:srgbClr val="1F497D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(Arkusz1!$A$4,Arkusz1!$A$9,Arkusz1!$A$17,Arkusz1!$A$22,Arkusz1!$A$27,Arkusz1!$A$32,Arkusz1!$A$38,Arkusz1!$A$44,Arkusz1!$A$52)</c:f>
              <c:strCache>
                <c:ptCount val="9"/>
                <c:pt idx="0">
                  <c:v>SP-1</c:v>
                </c:pt>
                <c:pt idx="1">
                  <c:v>SP-3</c:v>
                </c:pt>
                <c:pt idx="2">
                  <c:v>SP-5</c:v>
                </c:pt>
                <c:pt idx="3">
                  <c:v>SP-8</c:v>
                </c:pt>
                <c:pt idx="4">
                  <c:v>SP-9</c:v>
                </c:pt>
                <c:pt idx="5">
                  <c:v>SP-13</c:v>
                </c:pt>
                <c:pt idx="6">
                  <c:v>SP-14</c:v>
                </c:pt>
                <c:pt idx="7">
                  <c:v>SP-17</c:v>
                </c:pt>
                <c:pt idx="8">
                  <c:v>Kraj</c:v>
                </c:pt>
              </c:strCache>
            </c:strRef>
          </c:cat>
          <c:val>
            <c:numRef>
              <c:f>(Arkusz1!$D$4,Arkusz1!$D$9,Arkusz1!$D$17,Arkusz1!$D$22,Arkusz1!$D$27,Arkusz1!$D$32,Arkusz1!$D$38,Arkusz1!$D$44,Arkusz1!$D$52)</c:f>
              <c:numCache>
                <c:formatCode>0.0</c:formatCode>
                <c:ptCount val="9"/>
                <c:pt idx="0">
                  <c:v>67.902439024390247</c:v>
                </c:pt>
                <c:pt idx="1">
                  <c:v>64.804878048780495</c:v>
                </c:pt>
                <c:pt idx="2">
                  <c:v>65.731707317073173</c:v>
                </c:pt>
                <c:pt idx="3">
                  <c:v>68.463414634146346</c:v>
                </c:pt>
                <c:pt idx="4">
                  <c:v>71.658536585365852</c:v>
                </c:pt>
                <c:pt idx="5">
                  <c:v>66.243902439024396</c:v>
                </c:pt>
                <c:pt idx="6">
                  <c:v>68.317073170731717</c:v>
                </c:pt>
                <c:pt idx="7">
                  <c:v>69.073170731707322</c:v>
                </c:pt>
                <c:pt idx="8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5841408"/>
        <c:axId val="267986168"/>
      </c:barChart>
      <c:catAx>
        <c:axId val="265841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  <a:tailEnd type="triangle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67986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7986168"/>
        <c:scaling>
          <c:orientation val="minMax"/>
          <c:max val="90"/>
          <c:min val="3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6224147724108743E-2"/>
              <c:y val="0.2546422351411677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  <a:tailEnd type="triangle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65841408"/>
        <c:crosses val="autoZero"/>
        <c:crossBetween val="between"/>
        <c:majorUnit val="10"/>
        <c:minorUnit val="2"/>
      </c:valAx>
      <c:spPr>
        <a:noFill/>
        <a:ln w="12700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l-PL"/>
              <a:t>Wy</a:t>
            </a:r>
            <a:r>
              <a:rPr lang="en-US"/>
              <a:t>niki</a:t>
            </a:r>
            <a:r>
              <a:rPr lang="pl-PL"/>
              <a:t> sprawdzianu</a:t>
            </a:r>
            <a:r>
              <a:rPr lang="pl-PL" baseline="0"/>
              <a:t> </a:t>
            </a:r>
            <a:r>
              <a:rPr lang="pl-PL"/>
              <a:t>w klasach VI w 2015 r.</a:t>
            </a:r>
            <a:endParaRPr lang="en-US"/>
          </a:p>
        </c:rich>
      </c:tx>
      <c:layout>
        <c:manualLayout>
          <c:xMode val="edge"/>
          <c:yMode val="edge"/>
          <c:x val="0.25749964531460834"/>
          <c:y val="4.25007043611074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1847853695707388E-2"/>
          <c:y val="0.18597163614217127"/>
          <c:w val="0.79015309231858599"/>
          <c:h val="0.58764867098794948"/>
        </c:manualLayout>
      </c:layout>
      <c:barChart>
        <c:barDir val="col"/>
        <c:grouping val="clustered"/>
        <c:varyColors val="0"/>
        <c:ser>
          <c:idx val="0"/>
          <c:order val="0"/>
          <c:tx>
            <c:v>klasy2015</c:v>
          </c:tx>
          <c:spPr>
            <a:solidFill>
              <a:srgbClr val="C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 w="12700">
                <a:solidFill>
                  <a:schemeClr val="tx1"/>
                </a:solidFill>
                <a:prstDash val="solid"/>
              </a:ln>
            </c:spPr>
          </c:dPt>
          <c:dPt>
            <c:idx val="7"/>
            <c:invertIfNegative val="0"/>
            <c:bubble3D val="0"/>
            <c:spPr>
              <a:solidFill>
                <a:schemeClr val="accent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8"/>
            <c:invertIfNegative val="0"/>
            <c:bubble3D val="0"/>
            <c:spPr>
              <a:solidFill>
                <a:schemeClr val="accent6"/>
              </a:solidFill>
              <a:ln w="12700">
                <a:solidFill>
                  <a:sysClr val="windowText" lastClr="000000"/>
                </a:solidFill>
                <a:prstDash val="solid"/>
              </a:ln>
            </c:spPr>
          </c:dPt>
          <c:dPt>
            <c:idx val="9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3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4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5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6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7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8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9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0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1"/>
            <c:invertIfNegative val="0"/>
            <c:bubble3D val="0"/>
            <c:spPr>
              <a:solidFill>
                <a:srgbClr val="0070C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2"/>
            <c:invertIfNegative val="0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3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4"/>
            <c:invertIfNegative val="0"/>
            <c:bubble3D val="0"/>
            <c:spPr>
              <a:solidFill>
                <a:schemeClr val="tx2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(Arkusz1!$B$6:$B$7,Arkusz1!$B$11:$B$15,Arkusz1!$B$19:$B$20,Arkusz1!$B$24:$B$25,Arkusz1!$B$29:$B$30,Arkusz1!$B$34:$B$35,Arkusz1!$B$40:$B$42,Arkusz1!$B$46:$B$48,Arkusz1!$A$52)</c:f>
              <c:strCache>
                <c:ptCount val="22"/>
                <c:pt idx="0">
                  <c:v>1-6a</c:v>
                </c:pt>
                <c:pt idx="1">
                  <c:v>1-6b</c:v>
                </c:pt>
                <c:pt idx="2">
                  <c:v>3-6a</c:v>
                </c:pt>
                <c:pt idx="3">
                  <c:v>3-6b</c:v>
                </c:pt>
                <c:pt idx="4">
                  <c:v>3-6c</c:v>
                </c:pt>
                <c:pt idx="5">
                  <c:v>3-6d</c:v>
                </c:pt>
                <c:pt idx="6">
                  <c:v>3-6e</c:v>
                </c:pt>
                <c:pt idx="7">
                  <c:v>5-6a</c:v>
                </c:pt>
                <c:pt idx="8">
                  <c:v>5-6b</c:v>
                </c:pt>
                <c:pt idx="9">
                  <c:v>8-6a</c:v>
                </c:pt>
                <c:pt idx="10">
                  <c:v>8-6b</c:v>
                </c:pt>
                <c:pt idx="11">
                  <c:v>9-6a</c:v>
                </c:pt>
                <c:pt idx="12">
                  <c:v>9-6b</c:v>
                </c:pt>
                <c:pt idx="13">
                  <c:v>13-6a</c:v>
                </c:pt>
                <c:pt idx="14">
                  <c:v>13-6b</c:v>
                </c:pt>
                <c:pt idx="15">
                  <c:v>14-6a</c:v>
                </c:pt>
                <c:pt idx="16">
                  <c:v>14-6b</c:v>
                </c:pt>
                <c:pt idx="17">
                  <c:v>14-6c</c:v>
                </c:pt>
                <c:pt idx="18">
                  <c:v>17-6a</c:v>
                </c:pt>
                <c:pt idx="19">
                  <c:v>17-6b</c:v>
                </c:pt>
                <c:pt idx="20">
                  <c:v>17-6c</c:v>
                </c:pt>
                <c:pt idx="21">
                  <c:v>Kraj</c:v>
                </c:pt>
              </c:strCache>
            </c:strRef>
          </c:cat>
          <c:val>
            <c:numRef>
              <c:f>(Arkusz1!$D$6:$D$7,Arkusz1!$D$11:$D$15,Arkusz1!$D$19:$D$20,Arkusz1!$D$24:$D$25,Arkusz1!$D$29:$D$30,Arkusz1!$D$34:$D$35,Arkusz1!$D$40:$D$42,Arkusz1!$D$46:$D$48,Arkusz1!$D$52)</c:f>
              <c:numCache>
                <c:formatCode>0.0</c:formatCode>
                <c:ptCount val="22"/>
                <c:pt idx="0">
                  <c:v>62.341463414634148</c:v>
                </c:pt>
                <c:pt idx="1">
                  <c:v>72.121951219512198</c:v>
                </c:pt>
                <c:pt idx="2">
                  <c:v>70.731707317073173</c:v>
                </c:pt>
                <c:pt idx="3">
                  <c:v>67.902439024390247</c:v>
                </c:pt>
                <c:pt idx="4">
                  <c:v>65.658536585365852</c:v>
                </c:pt>
                <c:pt idx="5">
                  <c:v>61.390243902439025</c:v>
                </c:pt>
                <c:pt idx="6">
                  <c:v>58.243902439024389</c:v>
                </c:pt>
                <c:pt idx="7">
                  <c:v>62.31707317073171</c:v>
                </c:pt>
                <c:pt idx="8">
                  <c:v>68.853658536585371</c:v>
                </c:pt>
                <c:pt idx="9">
                  <c:v>65.853658536585371</c:v>
                </c:pt>
                <c:pt idx="10">
                  <c:v>71.853658536585357</c:v>
                </c:pt>
                <c:pt idx="11">
                  <c:v>71.536585365853654</c:v>
                </c:pt>
                <c:pt idx="12">
                  <c:v>71.731707317073173</c:v>
                </c:pt>
                <c:pt idx="13">
                  <c:v>65.951219512195124</c:v>
                </c:pt>
                <c:pt idx="14">
                  <c:v>66.585365853658544</c:v>
                </c:pt>
                <c:pt idx="15">
                  <c:v>70.829268292682926</c:v>
                </c:pt>
                <c:pt idx="16">
                  <c:v>67.951219512195109</c:v>
                </c:pt>
                <c:pt idx="17">
                  <c:v>66.073170731707322</c:v>
                </c:pt>
                <c:pt idx="18">
                  <c:v>64.585365853658544</c:v>
                </c:pt>
                <c:pt idx="19">
                  <c:v>70.317073170731703</c:v>
                </c:pt>
                <c:pt idx="20">
                  <c:v>72</c:v>
                </c:pt>
                <c:pt idx="21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6"/>
        <c:overlap val="-100"/>
        <c:axId val="267986952"/>
        <c:axId val="267987344"/>
      </c:barChart>
      <c:catAx>
        <c:axId val="267986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Szkoły Podstawowe</a:t>
                </a:r>
              </a:p>
            </c:rich>
          </c:tx>
          <c:layout>
            <c:manualLayout>
              <c:xMode val="edge"/>
              <c:yMode val="edge"/>
              <c:x val="0.36774300584586478"/>
              <c:y val="0.9122256071345327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67987344"/>
        <c:crosses val="autoZero"/>
        <c:auto val="1"/>
        <c:lblAlgn val="ctr"/>
        <c:lblOffset val="20"/>
        <c:tickLblSkip val="1"/>
        <c:tickMarkSkip val="1"/>
        <c:noMultiLvlLbl val="0"/>
      </c:catAx>
      <c:valAx>
        <c:axId val="267987344"/>
        <c:scaling>
          <c:orientation val="minMax"/>
          <c:max val="90"/>
          <c:min val="3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8335669689016221E-2"/>
              <c:y val="0.24750062443442641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67986952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pl-PL"/>
              <a:t>Łączny wynik z języka angielskiego w 2015 r.</a:t>
            </a:r>
          </a:p>
        </c:rich>
      </c:tx>
      <c:layout>
        <c:manualLayout>
          <c:xMode val="edge"/>
          <c:yMode val="edge"/>
          <c:x val="0.12455908289241623"/>
          <c:y val="3.663701329369228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209455673649212"/>
          <c:y val="0.13251794812413442"/>
          <c:w val="0.75439632545931767"/>
          <c:h val="0.7264867208054594"/>
        </c:manualLayout>
      </c:layout>
      <c:barChart>
        <c:barDir val="col"/>
        <c:grouping val="clustered"/>
        <c:varyColors val="0"/>
        <c:ser>
          <c:idx val="0"/>
          <c:order val="0"/>
          <c:tx>
            <c:v>j.angielski</c:v>
          </c:tx>
          <c:spPr>
            <a:solidFill>
              <a:srgbClr val="F79646">
                <a:lumMod val="75000"/>
              </a:srgbClr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8"/>
            <c:invertIfNegative val="0"/>
            <c:bubble3D val="0"/>
            <c:spPr>
              <a:solidFill>
                <a:srgbClr val="1F497D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(Arkusz1!$A$4,Arkusz1!$A$9,Arkusz1!$A$17,Arkusz1!$A$22,Arkusz1!$A$27,Arkusz1!$A$32,Arkusz1!$A$38,Arkusz1!$A$44,Arkusz1!$A$52)</c:f>
              <c:strCache>
                <c:ptCount val="9"/>
                <c:pt idx="0">
                  <c:v>SP-1</c:v>
                </c:pt>
                <c:pt idx="1">
                  <c:v>SP-3</c:v>
                </c:pt>
                <c:pt idx="2">
                  <c:v>SP-5</c:v>
                </c:pt>
                <c:pt idx="3">
                  <c:v>SP-8</c:v>
                </c:pt>
                <c:pt idx="4">
                  <c:v>SP-9</c:v>
                </c:pt>
                <c:pt idx="5">
                  <c:v>SP-13</c:v>
                </c:pt>
                <c:pt idx="6">
                  <c:v>SP-14</c:v>
                </c:pt>
                <c:pt idx="7">
                  <c:v>SP-17</c:v>
                </c:pt>
                <c:pt idx="8">
                  <c:v>Kraj</c:v>
                </c:pt>
              </c:strCache>
            </c:strRef>
          </c:cat>
          <c:val>
            <c:numRef>
              <c:f>(Arkusz1!$G$4,Arkusz1!$G$9,Arkusz1!$G$17,Arkusz1!$G$22,Arkusz1!$G$27,Arkusz1!$G$32,Arkusz1!$G$38,Arkusz1!$G$44,Arkusz1!$G$52)</c:f>
              <c:numCache>
                <c:formatCode>General</c:formatCode>
                <c:ptCount val="9"/>
                <c:pt idx="0">
                  <c:v>72.7</c:v>
                </c:pt>
                <c:pt idx="1">
                  <c:v>83.125</c:v>
                </c:pt>
                <c:pt idx="2">
                  <c:v>76.724999999999994</c:v>
                </c:pt>
                <c:pt idx="3">
                  <c:v>67.424999999999997</c:v>
                </c:pt>
                <c:pt idx="4">
                  <c:v>85.15</c:v>
                </c:pt>
                <c:pt idx="5">
                  <c:v>86</c:v>
                </c:pt>
                <c:pt idx="6">
                  <c:v>85.625</c:v>
                </c:pt>
                <c:pt idx="7">
                  <c:v>87.3</c:v>
                </c:pt>
                <c:pt idx="8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7988128"/>
        <c:axId val="267988520"/>
      </c:barChart>
      <c:catAx>
        <c:axId val="267988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  <a:tailEnd type="triangle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679885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7988520"/>
        <c:scaling>
          <c:orientation val="minMax"/>
          <c:max val="90"/>
          <c:min val="3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6224147724108743E-2"/>
              <c:y val="0.2546422351411677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  <a:tailEnd type="triangle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267988128"/>
        <c:crosses val="autoZero"/>
        <c:crossBetween val="between"/>
        <c:majorUnit val="10"/>
        <c:minorUnit val="2"/>
      </c:valAx>
      <c:spPr>
        <a:noFill/>
        <a:ln w="12700">
          <a:solidFill>
            <a:sysClr val="windowText" lastClr="00000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pl-PL" sz="1400"/>
              <a:t>Test humanistyczny (GH-H + GH-P) w 2015 r.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59891099730785"/>
          <c:y val="0.16494532199271153"/>
          <c:w val="0.70358277837378291"/>
          <c:h val="0.70272385453641995"/>
        </c:manualLayout>
      </c:layout>
      <c:barChart>
        <c:barDir val="col"/>
        <c:grouping val="clustered"/>
        <c:varyColors val="0"/>
        <c:ser>
          <c:idx val="0"/>
          <c:order val="0"/>
          <c:tx>
            <c:v>human</c:v>
          </c:tx>
          <c:spPr>
            <a:solidFill>
              <a:schemeClr val="accent1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chemeClr val="accent6"/>
              </a:solidFill>
            </c:spPr>
          </c:dPt>
          <c:dPt>
            <c:idx val="4"/>
            <c:invertIfNegative val="0"/>
            <c:bubble3D val="0"/>
            <c:spPr>
              <a:solidFill>
                <a:srgbClr val="C00000"/>
              </a:solidFill>
            </c:spPr>
          </c:dPt>
          <c:cat>
            <c:strRef>
              <c:f>('G-1'!$D$9,'G-1'!$D$18,'G-1'!$D$25,'G-1'!$D$39)</c:f>
              <c:strCache>
                <c:ptCount val="4"/>
                <c:pt idx="0">
                  <c:v>G-1</c:v>
                </c:pt>
                <c:pt idx="1">
                  <c:v>G-2</c:v>
                </c:pt>
                <c:pt idx="2">
                  <c:v>G-3</c:v>
                </c:pt>
                <c:pt idx="3">
                  <c:v>Kraj</c:v>
                </c:pt>
              </c:strCache>
            </c:strRef>
          </c:cat>
          <c:val>
            <c:numRef>
              <c:f>('G-1'!$J$9,'G-1'!$J$18,'G-1'!$J$25,'G-1'!$J$39)</c:f>
              <c:numCache>
                <c:formatCode>0.00</c:formatCode>
                <c:ptCount val="4"/>
                <c:pt idx="0">
                  <c:v>66.5</c:v>
                </c:pt>
                <c:pt idx="1">
                  <c:v>53.671875</c:v>
                </c:pt>
                <c:pt idx="2">
                  <c:v>64.484375</c:v>
                </c:pt>
                <c:pt idx="3">
                  <c:v>63.96875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7989304"/>
        <c:axId val="267989696"/>
      </c:barChart>
      <c:catAx>
        <c:axId val="267989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25400">
            <a:solidFill>
              <a:schemeClr val="tx1"/>
            </a:solidFill>
            <a:tailEnd type="triangle"/>
          </a:ln>
        </c:spPr>
        <c:txPr>
          <a:bodyPr rot="0" vert="horz" anchor="ctr" anchorCtr="0"/>
          <a:lstStyle/>
          <a:p>
            <a:pPr>
              <a:defRPr sz="1050" b="1"/>
            </a:pPr>
            <a:endParaRPr lang="pl-PL"/>
          </a:p>
        </c:txPr>
        <c:crossAx val="267989696"/>
        <c:crosses val="autoZero"/>
        <c:auto val="1"/>
        <c:lblAlgn val="ctr"/>
        <c:lblOffset val="100"/>
        <c:tickLblSkip val="1"/>
        <c:noMultiLvlLbl val="0"/>
      </c:catAx>
      <c:valAx>
        <c:axId val="267989696"/>
        <c:scaling>
          <c:orientation val="minMax"/>
          <c:max val="90"/>
          <c:min val="30"/>
        </c:scaling>
        <c:delete val="0"/>
        <c:axPos val="l"/>
        <c:majorGridlines/>
        <c:numFmt formatCode="0" sourceLinked="0"/>
        <c:majorTickMark val="none"/>
        <c:minorTickMark val="none"/>
        <c:tickLblPos val="nextTo"/>
        <c:spPr>
          <a:ln w="25400">
            <a:solidFill>
              <a:schemeClr val="tx1"/>
            </a:solidFill>
            <a:tailEnd type="triangle"/>
          </a:ln>
        </c:spPr>
        <c:txPr>
          <a:bodyPr/>
          <a:lstStyle/>
          <a:p>
            <a:pPr>
              <a:defRPr sz="1200" b="1"/>
            </a:pPr>
            <a:endParaRPr lang="pl-PL"/>
          </a:p>
        </c:txPr>
        <c:crossAx val="267989304"/>
        <c:crosses val="autoZero"/>
        <c:crossBetween val="between"/>
      </c:valAx>
    </c:plotArea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 baseline="0"/>
              <a:t>Test matematyczno - przyrodniczy</a:t>
            </a:r>
            <a:r>
              <a:rPr lang="pl-PL" sz="1200" baseline="0"/>
              <a:t> (GM-M + GM-P) w 2015 r.</a:t>
            </a:r>
            <a:endParaRPr lang="en-US" sz="1200" baseline="0"/>
          </a:p>
        </c:rich>
      </c:tx>
      <c:layout>
        <c:manualLayout>
          <c:xMode val="edge"/>
          <c:yMode val="edge"/>
          <c:x val="0.11452299759569128"/>
          <c:y val="4.313665284029384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59891099730785"/>
          <c:y val="0.16494532199271153"/>
          <c:w val="0.70358277837378291"/>
          <c:h val="0.70272385453641995"/>
        </c:manualLayout>
      </c:layout>
      <c:barChart>
        <c:barDir val="col"/>
        <c:grouping val="clustered"/>
        <c:varyColors val="0"/>
        <c:ser>
          <c:idx val="0"/>
          <c:order val="0"/>
          <c:tx>
            <c:v>mat-przyr</c:v>
          </c:tx>
          <c:spPr>
            <a:solidFill>
              <a:schemeClr val="accent1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chemeClr val="accent6"/>
              </a:solidFill>
            </c:spPr>
          </c:dPt>
          <c:dPt>
            <c:idx val="4"/>
            <c:invertIfNegative val="0"/>
            <c:bubble3D val="0"/>
            <c:spPr>
              <a:solidFill>
                <a:srgbClr val="C00000"/>
              </a:solidFill>
            </c:spPr>
          </c:dPt>
          <c:cat>
            <c:strRef>
              <c:f>('G-1'!$D$9,'G-1'!$D$18,'G-1'!$D$25,'G-1'!$D$39)</c:f>
              <c:strCache>
                <c:ptCount val="4"/>
                <c:pt idx="0">
                  <c:v>G-1</c:v>
                </c:pt>
                <c:pt idx="1">
                  <c:v>G-2</c:v>
                </c:pt>
                <c:pt idx="2">
                  <c:v>G-3</c:v>
                </c:pt>
                <c:pt idx="3">
                  <c:v>Kraj</c:v>
                </c:pt>
              </c:strCache>
            </c:strRef>
          </c:cat>
          <c:val>
            <c:numRef>
              <c:f>('G-1'!$P$9,'G-1'!$P$18,'G-1'!$P$25,'G-1'!$P$39)</c:f>
              <c:numCache>
                <c:formatCode>0.00</c:formatCode>
                <c:ptCount val="4"/>
                <c:pt idx="0">
                  <c:v>50.631578947368418</c:v>
                </c:pt>
                <c:pt idx="1">
                  <c:v>39.315789473684212</c:v>
                </c:pt>
                <c:pt idx="2">
                  <c:v>52.157894736842103</c:v>
                </c:pt>
                <c:pt idx="3">
                  <c:v>48.982456140350884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749808"/>
        <c:axId val="292750200"/>
      </c:barChart>
      <c:catAx>
        <c:axId val="29274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25400">
            <a:solidFill>
              <a:schemeClr val="tx1"/>
            </a:solidFill>
            <a:tailEnd type="triangle"/>
          </a:ln>
        </c:spPr>
        <c:txPr>
          <a:bodyPr rot="0" vert="horz" anchor="ctr" anchorCtr="0"/>
          <a:lstStyle/>
          <a:p>
            <a:pPr>
              <a:defRPr sz="1050" b="1"/>
            </a:pPr>
            <a:endParaRPr lang="pl-PL"/>
          </a:p>
        </c:txPr>
        <c:crossAx val="292750200"/>
        <c:crosses val="autoZero"/>
        <c:auto val="1"/>
        <c:lblAlgn val="ctr"/>
        <c:lblOffset val="100"/>
        <c:tickLblSkip val="1"/>
        <c:noMultiLvlLbl val="0"/>
      </c:catAx>
      <c:valAx>
        <c:axId val="292750200"/>
        <c:scaling>
          <c:orientation val="minMax"/>
          <c:max val="90"/>
          <c:min val="30"/>
        </c:scaling>
        <c:delete val="0"/>
        <c:axPos val="l"/>
        <c:majorGridlines/>
        <c:numFmt formatCode="0" sourceLinked="0"/>
        <c:majorTickMark val="none"/>
        <c:minorTickMark val="none"/>
        <c:tickLblPos val="nextTo"/>
        <c:spPr>
          <a:ln w="25400">
            <a:solidFill>
              <a:schemeClr val="tx1"/>
            </a:solidFill>
            <a:tailEnd type="triangle"/>
          </a:ln>
        </c:spPr>
        <c:txPr>
          <a:bodyPr/>
          <a:lstStyle/>
          <a:p>
            <a:pPr>
              <a:defRPr sz="1200" b="1"/>
            </a:pPr>
            <a:endParaRPr lang="pl-PL"/>
          </a:p>
        </c:txPr>
        <c:crossAx val="292749808"/>
        <c:crosses val="autoZero"/>
        <c:crossBetween val="between"/>
      </c:valAx>
    </c:plotArea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/>
              <a:t>Wynik</a:t>
            </a:r>
            <a:r>
              <a:rPr lang="pl-PL" sz="1400"/>
              <a:t>i</a:t>
            </a:r>
            <a:r>
              <a:rPr lang="en-US" sz="1400"/>
              <a:t> egzaminu gimnazjalnego</a:t>
            </a:r>
            <a:r>
              <a:rPr lang="pl-PL" sz="1400" baseline="0"/>
              <a:t> </a:t>
            </a:r>
            <a:r>
              <a:rPr lang="pl-PL" sz="1400"/>
              <a:t>- 2015 r.</a:t>
            </a:r>
            <a:endParaRPr lang="en-US" sz="1400"/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59891099730785"/>
          <c:y val="0.16494532199271153"/>
          <c:w val="0.70358277837378291"/>
          <c:h val="0.70272385453641995"/>
        </c:manualLayout>
      </c:layout>
      <c:barChart>
        <c:barDir val="col"/>
        <c:grouping val="clustered"/>
        <c:varyColors val="0"/>
        <c:ser>
          <c:idx val="0"/>
          <c:order val="0"/>
          <c:tx>
            <c:v>wynik</c:v>
          </c:tx>
          <c:spPr>
            <a:solidFill>
              <a:schemeClr val="accent1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chemeClr val="accent6"/>
              </a:solidFill>
            </c:spPr>
          </c:dPt>
          <c:dPt>
            <c:idx val="4"/>
            <c:invertIfNegative val="0"/>
            <c:bubble3D val="0"/>
            <c:spPr>
              <a:solidFill>
                <a:srgbClr val="C00000"/>
              </a:solidFill>
            </c:spPr>
          </c:dPt>
          <c:cat>
            <c:strRef>
              <c:f>('G-1'!$D$9,'G-1'!$D$18,'G-1'!$D$25,'G-1'!$D$39)</c:f>
              <c:strCache>
                <c:ptCount val="4"/>
                <c:pt idx="0">
                  <c:v>G-1</c:v>
                </c:pt>
                <c:pt idx="1">
                  <c:v>G-2</c:v>
                </c:pt>
                <c:pt idx="2">
                  <c:v>G-3</c:v>
                </c:pt>
                <c:pt idx="3">
                  <c:v>Kraj</c:v>
                </c:pt>
              </c:strCache>
            </c:strRef>
          </c:cat>
          <c:val>
            <c:numRef>
              <c:f>('G-1'!$R$9,'G-1'!$R$18,'G-1'!$R$25,'G-1'!$R$39)</c:f>
              <c:numCache>
                <c:formatCode>0.00</c:formatCode>
                <c:ptCount val="4"/>
                <c:pt idx="0">
                  <c:v>59.02479338842975</c:v>
                </c:pt>
                <c:pt idx="1">
                  <c:v>46.909090909090914</c:v>
                </c:pt>
                <c:pt idx="2">
                  <c:v>58.677685950413228</c:v>
                </c:pt>
                <c:pt idx="3">
                  <c:v>56.909090909090907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750984"/>
        <c:axId val="292751376"/>
      </c:barChart>
      <c:catAx>
        <c:axId val="292750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25400">
            <a:solidFill>
              <a:schemeClr val="tx1"/>
            </a:solidFill>
            <a:tailEnd type="triangle"/>
          </a:ln>
        </c:spPr>
        <c:txPr>
          <a:bodyPr rot="0" vert="horz" anchor="ctr" anchorCtr="0"/>
          <a:lstStyle/>
          <a:p>
            <a:pPr>
              <a:defRPr sz="1050" b="1"/>
            </a:pPr>
            <a:endParaRPr lang="pl-PL"/>
          </a:p>
        </c:txPr>
        <c:crossAx val="292751376"/>
        <c:crosses val="autoZero"/>
        <c:auto val="1"/>
        <c:lblAlgn val="ctr"/>
        <c:lblOffset val="100"/>
        <c:tickLblSkip val="1"/>
        <c:noMultiLvlLbl val="0"/>
      </c:catAx>
      <c:valAx>
        <c:axId val="292751376"/>
        <c:scaling>
          <c:orientation val="minMax"/>
          <c:max val="90"/>
          <c:min val="30"/>
        </c:scaling>
        <c:delete val="0"/>
        <c:axPos val="l"/>
        <c:majorGridlines/>
        <c:numFmt formatCode="0" sourceLinked="0"/>
        <c:majorTickMark val="none"/>
        <c:minorTickMark val="none"/>
        <c:tickLblPos val="nextTo"/>
        <c:spPr>
          <a:ln w="25400">
            <a:solidFill>
              <a:schemeClr val="tx1"/>
            </a:solidFill>
            <a:tailEnd type="triangle"/>
          </a:ln>
        </c:spPr>
        <c:txPr>
          <a:bodyPr/>
          <a:lstStyle/>
          <a:p>
            <a:pPr>
              <a:defRPr sz="1200" b="1"/>
            </a:pPr>
            <a:endParaRPr lang="pl-PL"/>
          </a:p>
        </c:txPr>
        <c:crossAx val="292750984"/>
        <c:crosses val="autoZero"/>
        <c:crossBetween val="between"/>
      </c:valAx>
    </c:plotArea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/>
              <a:t>Wyniki egzaminu gimnazjalnego w oddziałach w 20</a:t>
            </a:r>
            <a:r>
              <a:rPr lang="pl-PL" sz="1400"/>
              <a:t>15</a:t>
            </a:r>
            <a:r>
              <a:rPr lang="en-US" sz="1400"/>
              <a:t> r.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4361595301906924E-2"/>
          <c:y val="0.17167435897986075"/>
          <c:w val="0.82000937217941261"/>
          <c:h val="0.5877063174239654"/>
        </c:manualLayout>
      </c:layout>
      <c:barChart>
        <c:barDir val="col"/>
        <c:grouping val="clustered"/>
        <c:varyColors val="0"/>
        <c:ser>
          <c:idx val="0"/>
          <c:order val="0"/>
          <c:tx>
            <c:v>klasy-2015</c:v>
          </c:tx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8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9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10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12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13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14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15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16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7"/>
            <c:invertIfNegative val="0"/>
            <c:bubble3D val="0"/>
            <c:spPr>
              <a:solidFill>
                <a:srgbClr val="F79646"/>
              </a:solidFill>
            </c:spPr>
          </c:dPt>
          <c:dPt>
            <c:idx val="18"/>
            <c:invertIfNegative val="0"/>
            <c:bubble3D val="0"/>
            <c:spPr>
              <a:solidFill>
                <a:schemeClr val="tx2"/>
              </a:solidFill>
            </c:spPr>
          </c:dPt>
          <c:dPt>
            <c:idx val="19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1"/>
            <c:invertIfNegative val="0"/>
            <c:bubble3D val="0"/>
            <c:spPr>
              <a:solidFill>
                <a:srgbClr val="F79646"/>
              </a:solidFill>
            </c:spPr>
          </c:dPt>
          <c:dPt>
            <c:idx val="22"/>
            <c:invertIfNegative val="0"/>
            <c:bubble3D val="0"/>
            <c:spPr>
              <a:solidFill>
                <a:srgbClr val="F79646"/>
              </a:solidFill>
            </c:spPr>
          </c:dPt>
          <c:dPt>
            <c:idx val="24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26"/>
            <c:invertIfNegative val="0"/>
            <c:bubble3D val="0"/>
            <c:spPr>
              <a:solidFill>
                <a:schemeClr val="accent6"/>
              </a:solidFill>
            </c:spPr>
          </c:dPt>
          <c:dPt>
            <c:idx val="27"/>
            <c:invertIfNegative val="0"/>
            <c:bubble3D val="0"/>
            <c:spPr>
              <a:solidFill>
                <a:srgbClr val="FF0000"/>
              </a:solidFill>
            </c:spPr>
          </c:dPt>
          <c:cat>
            <c:strRef>
              <c:f>('G-1'!$D$11:$D$15,'G-1'!$D$20:$D$22,'G-1'!$D$27:$D$34,'G-1'!$D$39)</c:f>
              <c:strCache>
                <c:ptCount val="17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A</c:v>
                </c:pt>
                <c:pt idx="6">
                  <c:v>B</c:v>
                </c:pt>
                <c:pt idx="7">
                  <c:v>C</c:v>
                </c:pt>
                <c:pt idx="8">
                  <c:v>A</c:v>
                </c:pt>
                <c:pt idx="9">
                  <c:v>B</c:v>
                </c:pt>
                <c:pt idx="10">
                  <c:v>C</c:v>
                </c:pt>
                <c:pt idx="11">
                  <c:v>D</c:v>
                </c:pt>
                <c:pt idx="12">
                  <c:v>F</c:v>
                </c:pt>
                <c:pt idx="13">
                  <c:v>G</c:v>
                </c:pt>
                <c:pt idx="14">
                  <c:v>H</c:v>
                </c:pt>
                <c:pt idx="15">
                  <c:v>I</c:v>
                </c:pt>
                <c:pt idx="16">
                  <c:v>Kraj</c:v>
                </c:pt>
              </c:strCache>
            </c:strRef>
          </c:cat>
          <c:val>
            <c:numRef>
              <c:f>('G-1'!$R$11:$R$15,'G-1'!$R$20:$R$22,'G-1'!$R$27:$R$34,'G-1'!$R$39)</c:f>
              <c:numCache>
                <c:formatCode>0.00</c:formatCode>
                <c:ptCount val="17"/>
                <c:pt idx="0">
                  <c:v>61.231404958677693</c:v>
                </c:pt>
                <c:pt idx="1">
                  <c:v>59.900826446280995</c:v>
                </c:pt>
                <c:pt idx="2">
                  <c:v>61.735537190082646</c:v>
                </c:pt>
                <c:pt idx="3">
                  <c:v>50.297520661157023</c:v>
                </c:pt>
                <c:pt idx="4">
                  <c:v>60.826446280991732</c:v>
                </c:pt>
                <c:pt idx="5">
                  <c:v>55.074380165289263</c:v>
                </c:pt>
                <c:pt idx="6">
                  <c:v>44.36363636363636</c:v>
                </c:pt>
                <c:pt idx="7">
                  <c:v>38.181818181818187</c:v>
                </c:pt>
                <c:pt idx="8">
                  <c:v>68.066115702479337</c:v>
                </c:pt>
                <c:pt idx="9">
                  <c:v>55.661157024793383</c:v>
                </c:pt>
                <c:pt idx="10">
                  <c:v>62.231404958677686</c:v>
                </c:pt>
                <c:pt idx="11">
                  <c:v>53.495867768595026</c:v>
                </c:pt>
                <c:pt idx="12">
                  <c:v>60.991735537190081</c:v>
                </c:pt>
                <c:pt idx="13">
                  <c:v>60.487603305785122</c:v>
                </c:pt>
                <c:pt idx="14">
                  <c:v>62.25619834710745</c:v>
                </c:pt>
                <c:pt idx="15">
                  <c:v>56.77685950413224</c:v>
                </c:pt>
                <c:pt idx="16">
                  <c:v>56.909090909090907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292752160"/>
        <c:axId val="292752552"/>
      </c:barChart>
      <c:catAx>
        <c:axId val="29275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25400">
            <a:solidFill>
              <a:schemeClr val="tx1"/>
            </a:solidFill>
            <a:tailEnd type="triangle"/>
          </a:ln>
        </c:spPr>
        <c:txPr>
          <a:bodyPr rot="-5400000" vert="horz"/>
          <a:lstStyle/>
          <a:p>
            <a:pPr>
              <a:defRPr sz="1000" b="1" baseline="0"/>
            </a:pPr>
            <a:endParaRPr lang="pl-PL"/>
          </a:p>
        </c:txPr>
        <c:crossAx val="292752552"/>
        <c:crosses val="autoZero"/>
        <c:auto val="1"/>
        <c:lblAlgn val="ctr"/>
        <c:lblOffset val="100"/>
        <c:noMultiLvlLbl val="0"/>
      </c:catAx>
      <c:valAx>
        <c:axId val="292752552"/>
        <c:scaling>
          <c:orientation val="minMax"/>
          <c:max val="90"/>
          <c:min val="3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sz="1200"/>
                  <a:t>%</a:t>
                </a:r>
              </a:p>
            </c:rich>
          </c:tx>
          <c:layout>
            <c:manualLayout>
              <c:xMode val="edge"/>
              <c:yMode val="edge"/>
              <c:x val="2.6965489737810987E-3"/>
              <c:y val="0.16493221604180244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25400">
            <a:solidFill>
              <a:schemeClr val="tx1"/>
            </a:solidFill>
            <a:tailEnd type="triangle"/>
          </a:ln>
        </c:spPr>
        <c:txPr>
          <a:bodyPr/>
          <a:lstStyle/>
          <a:p>
            <a:pPr>
              <a:defRPr sz="1200" b="1"/>
            </a:pPr>
            <a:endParaRPr lang="pl-PL"/>
          </a:p>
        </c:txPr>
        <c:crossAx val="292752160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solidFill>
        <a:schemeClr val="tx1"/>
      </a:solidFill>
    </a:ln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pl-PL" sz="1600"/>
              <a:t>Język</a:t>
            </a:r>
            <a:r>
              <a:rPr lang="pl-PL" sz="1600" baseline="0"/>
              <a:t> angielski - poziom podstawowy - 2015 r.</a:t>
            </a:r>
            <a:endParaRPr lang="en-US" sz="1600"/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59891099730785"/>
          <c:y val="0.16494532199271159"/>
          <c:w val="0.70358277837378291"/>
          <c:h val="0.70272385453642028"/>
        </c:manualLayout>
      </c:layout>
      <c:barChart>
        <c:barDir val="col"/>
        <c:grouping val="clustered"/>
        <c:varyColors val="0"/>
        <c:ser>
          <c:idx val="0"/>
          <c:order val="0"/>
          <c:tx>
            <c:v>język</c:v>
          </c:tx>
          <c:spPr>
            <a:solidFill>
              <a:schemeClr val="accent1"/>
            </a:solidFill>
          </c:spPr>
          <c:invertIfNegative val="0"/>
          <c:dPt>
            <c:idx val="3"/>
            <c:invertIfNegative val="0"/>
            <c:bubble3D val="0"/>
            <c:spPr>
              <a:solidFill>
                <a:schemeClr val="accent6"/>
              </a:solidFill>
            </c:spPr>
          </c:dPt>
          <c:dPt>
            <c:idx val="4"/>
            <c:invertIfNegative val="0"/>
            <c:bubble3D val="0"/>
            <c:spPr>
              <a:solidFill>
                <a:srgbClr val="C00000"/>
              </a:solidFill>
            </c:spPr>
          </c:dPt>
          <c:cat>
            <c:strRef>
              <c:f>('G-1'!$D$9,'G-1'!$D$18,'G-1'!$D$25,'G-1'!$D$39)</c:f>
              <c:strCache>
                <c:ptCount val="4"/>
                <c:pt idx="0">
                  <c:v>G-1</c:v>
                </c:pt>
                <c:pt idx="1">
                  <c:v>G-2</c:v>
                </c:pt>
                <c:pt idx="2">
                  <c:v>G-3</c:v>
                </c:pt>
                <c:pt idx="3">
                  <c:v>Kraj</c:v>
                </c:pt>
              </c:strCache>
            </c:strRef>
          </c:cat>
          <c:val>
            <c:numRef>
              <c:f>('G-1'!$U$9,'G-1'!$U$18,'G-1'!$U$25,'G-1'!$U$39)</c:f>
              <c:numCache>
                <c:formatCode>General</c:formatCode>
                <c:ptCount val="4"/>
                <c:pt idx="0">
                  <c:v>78.400000000000006</c:v>
                </c:pt>
                <c:pt idx="1">
                  <c:v>62.9</c:v>
                </c:pt>
                <c:pt idx="2">
                  <c:v>72.599999999999994</c:v>
                </c:pt>
                <c:pt idx="3" formatCode="0.0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12"/>
        <c:axId val="293441720"/>
        <c:axId val="293442112"/>
      </c:barChart>
      <c:catAx>
        <c:axId val="293441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25400">
            <a:solidFill>
              <a:schemeClr val="tx1"/>
            </a:solidFill>
            <a:tailEnd type="triangle"/>
          </a:ln>
        </c:spPr>
        <c:txPr>
          <a:bodyPr rot="0" vert="horz" anchor="ctr" anchorCtr="0"/>
          <a:lstStyle/>
          <a:p>
            <a:pPr>
              <a:defRPr sz="1050" b="1"/>
            </a:pPr>
            <a:endParaRPr lang="pl-PL"/>
          </a:p>
        </c:txPr>
        <c:crossAx val="293442112"/>
        <c:crosses val="autoZero"/>
        <c:auto val="1"/>
        <c:lblAlgn val="ctr"/>
        <c:lblOffset val="100"/>
        <c:tickLblSkip val="1"/>
        <c:noMultiLvlLbl val="0"/>
      </c:catAx>
      <c:valAx>
        <c:axId val="293442112"/>
        <c:scaling>
          <c:orientation val="minMax"/>
          <c:max val="90"/>
          <c:min val="30"/>
        </c:scaling>
        <c:delete val="0"/>
        <c:axPos val="l"/>
        <c:majorGridlines/>
        <c:numFmt formatCode="0" sourceLinked="0"/>
        <c:majorTickMark val="none"/>
        <c:minorTickMark val="none"/>
        <c:tickLblPos val="nextTo"/>
        <c:spPr>
          <a:ln w="25400">
            <a:solidFill>
              <a:schemeClr val="tx1"/>
            </a:solidFill>
            <a:tailEnd type="triangle"/>
          </a:ln>
        </c:spPr>
        <c:txPr>
          <a:bodyPr/>
          <a:lstStyle/>
          <a:p>
            <a:pPr>
              <a:defRPr sz="1200" b="1"/>
            </a:pPr>
            <a:endParaRPr lang="pl-PL"/>
          </a:p>
        </c:txPr>
        <c:crossAx val="293441720"/>
        <c:crosses val="autoZero"/>
        <c:crossBetween val="between"/>
      </c:valAx>
    </c:plotArea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0.10928</cdr:x>
      <cdr:y>0.36794</cdr:y>
    </cdr:from>
    <cdr:to>
      <cdr:x>0.87394</cdr:x>
      <cdr:y>0.36939</cdr:y>
    </cdr:to>
    <cdr:sp macro="" textlink="">
      <cdr:nvSpPr>
        <cdr:cNvPr id="2049" name="Line 1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895164" y="1309405"/>
          <a:ext cx="6263712" cy="516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25400">
          <a:solidFill>
            <a:srgbClr val="FF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0.87198</cdr:x>
      <cdr:y>0.32757</cdr:y>
    </cdr:from>
    <cdr:to>
      <cdr:x>0.98333</cdr:x>
      <cdr:y>0.50006</cdr:y>
    </cdr:to>
    <cdr:sp macro="" textlink="">
      <cdr:nvSpPr>
        <cdr:cNvPr id="2051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785101" y="1181331"/>
          <a:ext cx="994198" cy="6220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1" i="0" strike="noStrike">
              <a:solidFill>
                <a:srgbClr val="000000"/>
              </a:solidFill>
              <a:latin typeface="Calibri"/>
            </a:rPr>
            <a:t>poziom</a:t>
          </a:r>
        </a:p>
        <a:p xmlns:a="http://schemas.openxmlformats.org/drawingml/2006/main">
          <a:pPr algn="l" rtl="0">
            <a:defRPr sz="1000"/>
          </a:pPr>
          <a:r>
            <a:rPr lang="pl-PL" sz="800" b="1" i="0" strike="noStrike">
              <a:solidFill>
                <a:srgbClr val="000000"/>
              </a:solidFill>
              <a:latin typeface="Calibri"/>
            </a:rPr>
            <a:t>zadowalający</a:t>
          </a:r>
        </a:p>
      </cdr:txBody>
    </cdr:sp>
  </cdr:relSizeAnchor>
  <cdr:relSizeAnchor xmlns:cdr="http://schemas.openxmlformats.org/drawingml/2006/chartDrawing">
    <cdr:from>
      <cdr:x>0.10258</cdr:x>
      <cdr:y>0.61329</cdr:y>
    </cdr:from>
    <cdr:to>
      <cdr:x>0.86724</cdr:x>
      <cdr:y>0.61329</cdr:y>
    </cdr:to>
    <cdr:sp macro="" textlink="">
      <cdr:nvSpPr>
        <cdr:cNvPr id="2052" name="Line 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696542" y="2122153"/>
          <a:ext cx="5192014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25400">
          <a:solidFill>
            <a:srgbClr val="00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0.86913</cdr:x>
      <cdr:y>0.56697</cdr:y>
    </cdr:from>
    <cdr:to>
      <cdr:x>0.96833</cdr:x>
      <cdr:y>0.73953</cdr:y>
    </cdr:to>
    <cdr:sp macro="" textlink="">
      <cdr:nvSpPr>
        <cdr:cNvPr id="2053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759700" y="2044700"/>
          <a:ext cx="885677" cy="6222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1" i="0" strike="noStrike">
              <a:solidFill>
                <a:srgbClr val="000000"/>
              </a:solidFill>
              <a:latin typeface="Calibri"/>
            </a:rPr>
            <a:t>poziom</a:t>
          </a:r>
        </a:p>
        <a:p xmlns:a="http://schemas.openxmlformats.org/drawingml/2006/main">
          <a:pPr algn="l" rtl="0">
            <a:defRPr sz="1000"/>
          </a:pPr>
          <a:r>
            <a:rPr lang="pl-PL" sz="800" b="1" i="0" strike="noStrike">
              <a:solidFill>
                <a:srgbClr val="000000"/>
              </a:solidFill>
              <a:latin typeface="Calibri"/>
            </a:rPr>
            <a:t>konieczny</a:t>
          </a:r>
        </a:p>
      </cdr:txBody>
    </cdr:sp>
  </cdr:relSizeAnchor>
  <cdr:relSizeAnchor xmlns:cdr="http://schemas.openxmlformats.org/drawingml/2006/chartDrawing">
    <cdr:from>
      <cdr:x>0.87192</cdr:x>
      <cdr:y>0.76698</cdr:y>
    </cdr:from>
    <cdr:to>
      <cdr:x>0.87192</cdr:x>
      <cdr:y>0.76698</cdr:y>
    </cdr:to>
    <cdr:sp macro="" textlink="">
      <cdr:nvSpPr>
        <cdr:cNvPr id="2054" name="Line 6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4508757" y="2206643"/>
          <a:ext cx="0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0.89149</cdr:x>
      <cdr:y>0.3592</cdr:y>
    </cdr:from>
    <cdr:to>
      <cdr:x>0.98331</cdr:x>
      <cdr:y>0.53867</cdr:y>
    </cdr:to>
    <cdr:sp macro="" textlink="">
      <cdr:nvSpPr>
        <cdr:cNvPr id="2355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781800" y="1587501"/>
          <a:ext cx="698500" cy="7932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600" b="1" i="0" strike="noStrike">
              <a:solidFill>
                <a:srgbClr val="000000"/>
              </a:solidFill>
              <a:latin typeface="Calibri"/>
            </a:rPr>
            <a:t>poziom</a:t>
          </a:r>
          <a:endParaRPr lang="pl-PL" sz="600" b="1" i="0" strike="noStrike">
            <a:solidFill>
              <a:srgbClr val="000000"/>
            </a:solidFill>
            <a:latin typeface="Arial"/>
            <a:cs typeface="Arial"/>
          </a:endParaRPr>
        </a:p>
        <a:p xmlns:a="http://schemas.openxmlformats.org/drawingml/2006/main">
          <a:pPr algn="l" rtl="0">
            <a:defRPr sz="1000"/>
          </a:pPr>
          <a:r>
            <a:rPr lang="pl-PL" sz="600" b="1" i="0" strike="noStrike">
              <a:solidFill>
                <a:srgbClr val="000000"/>
              </a:solidFill>
              <a:latin typeface="Calibri"/>
            </a:rPr>
            <a:t>zadowalający</a:t>
          </a:r>
        </a:p>
      </cdr:txBody>
    </cdr:sp>
  </cdr:relSizeAnchor>
  <cdr:relSizeAnchor xmlns:cdr="http://schemas.openxmlformats.org/drawingml/2006/chartDrawing">
    <cdr:from>
      <cdr:x>0.88982</cdr:x>
      <cdr:y>0.54598</cdr:y>
    </cdr:from>
    <cdr:to>
      <cdr:x>0.95492</cdr:x>
      <cdr:y>0.68508</cdr:y>
    </cdr:to>
    <cdr:sp macro="" textlink="">
      <cdr:nvSpPr>
        <cdr:cNvPr id="23556" name="Text Box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769099" y="2413000"/>
          <a:ext cx="495301" cy="6147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600" b="1" i="0" strike="noStrike">
              <a:solidFill>
                <a:srgbClr val="000000"/>
              </a:solidFill>
              <a:latin typeface="Calibri"/>
            </a:rPr>
            <a:t>poziom</a:t>
          </a:r>
        </a:p>
        <a:p xmlns:a="http://schemas.openxmlformats.org/drawingml/2006/main">
          <a:pPr algn="l" rtl="0">
            <a:defRPr sz="1000"/>
          </a:pPr>
          <a:r>
            <a:rPr lang="pl-PL" sz="600" b="1" i="0" strike="noStrike">
              <a:solidFill>
                <a:srgbClr val="000000"/>
              </a:solidFill>
              <a:latin typeface="Calibri"/>
            </a:rPr>
            <a:t>konieczny</a:t>
          </a:r>
        </a:p>
      </cdr:txBody>
    </cdr:sp>
  </cdr:relSizeAnchor>
  <cdr:relSizeAnchor xmlns:cdr="http://schemas.openxmlformats.org/drawingml/2006/chartDrawing">
    <cdr:from>
      <cdr:x>0.09268</cdr:x>
      <cdr:y>0.38176</cdr:y>
    </cdr:from>
    <cdr:to>
      <cdr:x>0.88392</cdr:x>
      <cdr:y>0.3821</cdr:y>
    </cdr:to>
    <cdr:sp macro="" textlink="">
      <cdr:nvSpPr>
        <cdr:cNvPr id="9" name="Łącznik prosty 8"/>
        <cdr:cNvSpPr/>
      </cdr:nvSpPr>
      <cdr:spPr>
        <a:xfrm xmlns:a="http://schemas.openxmlformats.org/drawingml/2006/main">
          <a:off x="705045" y="1687221"/>
          <a:ext cx="6019200" cy="1503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0.09106</cdr:x>
      <cdr:y>0.57707</cdr:y>
    </cdr:from>
    <cdr:to>
      <cdr:x>0.88717</cdr:x>
      <cdr:y>0.57742</cdr:y>
    </cdr:to>
    <cdr:sp macro="" textlink="">
      <cdr:nvSpPr>
        <cdr:cNvPr id="11" name="Łącznik prosty 10"/>
        <cdr:cNvSpPr/>
      </cdr:nvSpPr>
      <cdr:spPr>
        <a:xfrm xmlns:a="http://schemas.openxmlformats.org/drawingml/2006/main">
          <a:off x="692721" y="2550438"/>
          <a:ext cx="6056247" cy="1547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0.09462</cdr:x>
      <cdr:y>0.84254</cdr:y>
    </cdr:from>
    <cdr:to>
      <cdr:x>0.13682</cdr:x>
      <cdr:y>0.91808</cdr:y>
    </cdr:to>
    <cdr:sp macro="" textlink="">
      <cdr:nvSpPr>
        <cdr:cNvPr id="12" name="pole tekstowe 11"/>
        <cdr:cNvSpPr txBox="1"/>
      </cdr:nvSpPr>
      <cdr:spPr>
        <a:xfrm xmlns:a="http://schemas.openxmlformats.org/drawingml/2006/main">
          <a:off x="533544" y="2840917"/>
          <a:ext cx="237982" cy="2547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0.30631</cdr:x>
      <cdr:y>0.84807</cdr:y>
    </cdr:from>
    <cdr:to>
      <cdr:x>0.38514</cdr:x>
      <cdr:y>0.92279</cdr:y>
    </cdr:to>
    <cdr:sp macro="" textlink="">
      <cdr:nvSpPr>
        <cdr:cNvPr id="14" name="pole tekstowe 13"/>
        <cdr:cNvSpPr txBox="1"/>
      </cdr:nvSpPr>
      <cdr:spPr>
        <a:xfrm xmlns:a="http://schemas.openxmlformats.org/drawingml/2006/main">
          <a:off x="1727200" y="2859565"/>
          <a:ext cx="444500" cy="2519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0.38964</cdr:x>
      <cdr:y>0.84254</cdr:y>
    </cdr:from>
    <cdr:to>
      <cdr:x>0.4527</cdr:x>
      <cdr:y>0.89642</cdr:y>
    </cdr:to>
    <cdr:sp macro="" textlink="">
      <cdr:nvSpPr>
        <cdr:cNvPr id="15" name="pole tekstowe 14"/>
        <cdr:cNvSpPr txBox="1"/>
      </cdr:nvSpPr>
      <cdr:spPr>
        <a:xfrm xmlns:a="http://schemas.openxmlformats.org/drawingml/2006/main">
          <a:off x="2197101" y="2840918"/>
          <a:ext cx="355600" cy="1816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0.4527</cdr:x>
      <cdr:y>0.84746</cdr:y>
    </cdr:from>
    <cdr:to>
      <cdr:x>0.53378</cdr:x>
      <cdr:y>0.90772</cdr:y>
    </cdr:to>
    <cdr:sp macro="" textlink="">
      <cdr:nvSpPr>
        <cdr:cNvPr id="10" name="pole tekstowe 9"/>
        <cdr:cNvSpPr txBox="1"/>
      </cdr:nvSpPr>
      <cdr:spPr>
        <a:xfrm xmlns:a="http://schemas.openxmlformats.org/drawingml/2006/main">
          <a:off x="2552700" y="2857500"/>
          <a:ext cx="457199" cy="203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200" b="1"/>
            <a:t>   </a:t>
          </a:r>
        </a:p>
      </cdr:txBody>
    </cdr:sp>
  </cdr:relSizeAnchor>
  <cdr:relSizeAnchor xmlns:cdr="http://schemas.openxmlformats.org/drawingml/2006/chartDrawing">
    <cdr:from>
      <cdr:x>0.52703</cdr:x>
      <cdr:y>0.84746</cdr:y>
    </cdr:from>
    <cdr:to>
      <cdr:x>0.59459</cdr:x>
      <cdr:y>0.93409</cdr:y>
    </cdr:to>
    <cdr:sp macro="" textlink="">
      <cdr:nvSpPr>
        <cdr:cNvPr id="16" name="pole tekstowe 15"/>
        <cdr:cNvSpPr txBox="1"/>
      </cdr:nvSpPr>
      <cdr:spPr>
        <a:xfrm xmlns:a="http://schemas.openxmlformats.org/drawingml/2006/main">
          <a:off x="2971801" y="2857508"/>
          <a:ext cx="381000" cy="292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200" b="1"/>
        </a:p>
      </cdr:txBody>
    </cdr:sp>
  </cdr:relSizeAnchor>
  <cdr:relSizeAnchor xmlns:cdr="http://schemas.openxmlformats.org/drawingml/2006/chartDrawing">
    <cdr:from>
      <cdr:x>0.61486</cdr:x>
      <cdr:y>0.84369</cdr:y>
    </cdr:from>
    <cdr:to>
      <cdr:x>0.72297</cdr:x>
      <cdr:y>0.93785</cdr:y>
    </cdr:to>
    <cdr:sp macro="" textlink="">
      <cdr:nvSpPr>
        <cdr:cNvPr id="17" name="pole tekstowe 16"/>
        <cdr:cNvSpPr txBox="1"/>
      </cdr:nvSpPr>
      <cdr:spPr>
        <a:xfrm xmlns:a="http://schemas.openxmlformats.org/drawingml/2006/main">
          <a:off x="3467100" y="2844800"/>
          <a:ext cx="609583" cy="317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0.72748</cdr:x>
      <cdr:y>0.83898</cdr:y>
    </cdr:from>
    <cdr:to>
      <cdr:x>0.80748</cdr:x>
      <cdr:y>0.90395</cdr:y>
    </cdr:to>
    <cdr:sp macro="" textlink="">
      <cdr:nvSpPr>
        <cdr:cNvPr id="18" name="pole tekstowe 17"/>
        <cdr:cNvSpPr txBox="1"/>
      </cdr:nvSpPr>
      <cdr:spPr>
        <a:xfrm xmlns:a="http://schemas.openxmlformats.org/drawingml/2006/main">
          <a:off x="4942847" y="2828915"/>
          <a:ext cx="543553" cy="2190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0.11083</cdr:x>
      <cdr:y>0.37508</cdr:y>
    </cdr:from>
    <cdr:to>
      <cdr:x>0.87549</cdr:x>
      <cdr:y>0.37653</cdr:y>
    </cdr:to>
    <cdr:sp macro="" textlink="">
      <cdr:nvSpPr>
        <cdr:cNvPr id="2049" name="Line 1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752559" y="1297891"/>
          <a:ext cx="5192014" cy="501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25400">
          <a:solidFill>
            <a:srgbClr val="FF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0.87198</cdr:x>
      <cdr:y>0.34816</cdr:y>
    </cdr:from>
    <cdr:to>
      <cdr:x>0.98333</cdr:x>
      <cdr:y>0.50006</cdr:y>
    </cdr:to>
    <cdr:sp macro="" textlink="">
      <cdr:nvSpPr>
        <cdr:cNvPr id="2051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142824" y="2286000"/>
          <a:ext cx="912124" cy="99734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1" i="0" strike="noStrike">
              <a:solidFill>
                <a:srgbClr val="000000"/>
              </a:solidFill>
              <a:latin typeface="Calibri"/>
            </a:rPr>
            <a:t>poziom</a:t>
          </a:r>
        </a:p>
        <a:p xmlns:a="http://schemas.openxmlformats.org/drawingml/2006/main">
          <a:pPr algn="l" rtl="0">
            <a:defRPr sz="1000"/>
          </a:pPr>
          <a:r>
            <a:rPr lang="pl-PL" sz="800" b="1" i="0" strike="noStrike">
              <a:solidFill>
                <a:srgbClr val="000000"/>
              </a:solidFill>
              <a:latin typeface="Calibri"/>
            </a:rPr>
            <a:t>zadowalający</a:t>
          </a:r>
        </a:p>
      </cdr:txBody>
    </cdr:sp>
  </cdr:relSizeAnchor>
  <cdr:relSizeAnchor xmlns:cdr="http://schemas.openxmlformats.org/drawingml/2006/chartDrawing">
    <cdr:from>
      <cdr:x>0.10258</cdr:x>
      <cdr:y>0.61329</cdr:y>
    </cdr:from>
    <cdr:to>
      <cdr:x>0.86724</cdr:x>
      <cdr:y>0.61329</cdr:y>
    </cdr:to>
    <cdr:sp macro="" textlink="">
      <cdr:nvSpPr>
        <cdr:cNvPr id="2052" name="Line 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696542" y="2122153"/>
          <a:ext cx="5192014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25400">
          <a:solidFill>
            <a:srgbClr val="000000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0.86913</cdr:x>
      <cdr:y>0.58607</cdr:y>
    </cdr:from>
    <cdr:to>
      <cdr:x>0.96833</cdr:x>
      <cdr:y>0.73953</cdr:y>
    </cdr:to>
    <cdr:sp macro="" textlink="">
      <cdr:nvSpPr>
        <cdr:cNvPr id="2053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119478" y="3848100"/>
          <a:ext cx="812597" cy="100758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1" i="0" strike="noStrike">
              <a:solidFill>
                <a:srgbClr val="000000"/>
              </a:solidFill>
              <a:latin typeface="Calibri"/>
            </a:rPr>
            <a:t>poziom</a:t>
          </a:r>
        </a:p>
        <a:p xmlns:a="http://schemas.openxmlformats.org/drawingml/2006/main">
          <a:pPr algn="l" rtl="0">
            <a:defRPr sz="1000"/>
          </a:pPr>
          <a:r>
            <a:rPr lang="pl-PL" sz="800" b="1" i="0" strike="noStrike">
              <a:solidFill>
                <a:srgbClr val="000000"/>
              </a:solidFill>
              <a:latin typeface="Calibri"/>
            </a:rPr>
            <a:t>konieczny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0.12779</cdr:x>
      <cdr:y>0.83587</cdr:y>
    </cdr:from>
    <cdr:to>
      <cdr:x>0.32244</cdr:x>
      <cdr:y>0.90881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92201" y="3492500"/>
          <a:ext cx="1663699" cy="3047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0.38782</cdr:x>
      <cdr:y>0.83587</cdr:y>
    </cdr:from>
    <cdr:to>
      <cdr:x>0.59435</cdr:x>
      <cdr:y>0.89362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3314700" y="3492500"/>
          <a:ext cx="1765300" cy="241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0.65676</cdr:x>
      <cdr:y>0.83587</cdr:y>
    </cdr:from>
    <cdr:to>
      <cdr:x>0.86033</cdr:x>
      <cdr:y>0.8997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5613400" y="3492500"/>
          <a:ext cx="17399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0.83814</cdr:x>
      <cdr:y>0.329</cdr:y>
    </cdr:from>
    <cdr:to>
      <cdr:x>1</cdr:x>
      <cdr:y>0.50216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4651593" y="965200"/>
          <a:ext cx="898307" cy="50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/>
        <a:lstStyle xmlns:a="http://schemas.openxmlformats.org/drawingml/2006/main"/>
        <a:p xmlns:a="http://schemas.openxmlformats.org/drawingml/2006/main">
          <a:r>
            <a:rPr lang="pl-PL" sz="1000" b="1"/>
            <a:t>poziom</a:t>
          </a:r>
        </a:p>
        <a:p xmlns:a="http://schemas.openxmlformats.org/drawingml/2006/main">
          <a:r>
            <a:rPr lang="pl-PL" sz="1000" b="1"/>
            <a:t>zadowalający</a:t>
          </a:r>
        </a:p>
      </cdr:txBody>
    </cdr:sp>
  </cdr:relSizeAnchor>
  <cdr:relSizeAnchor xmlns:cdr="http://schemas.openxmlformats.org/drawingml/2006/chartDrawing">
    <cdr:from>
      <cdr:x>0.84257</cdr:x>
      <cdr:y>0.55844</cdr:y>
    </cdr:from>
    <cdr:to>
      <cdr:x>0.99257</cdr:x>
      <cdr:y>0.7619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676179" y="1638300"/>
          <a:ext cx="832485" cy="596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/>
        <a:lstStyle xmlns:a="http://schemas.openxmlformats.org/drawingml/2006/main"/>
        <a:p xmlns:a="http://schemas.openxmlformats.org/drawingml/2006/main">
          <a:r>
            <a:rPr lang="pl-PL" sz="1000" b="1"/>
            <a:t>poziom</a:t>
          </a:r>
        </a:p>
        <a:p xmlns:a="http://schemas.openxmlformats.org/drawingml/2006/main">
          <a:r>
            <a:rPr lang="pl-PL" sz="1000" b="1"/>
            <a:t>konieczny</a:t>
          </a:r>
        </a:p>
      </cdr:txBody>
    </cdr:sp>
  </cdr:relSizeAnchor>
  <cdr:relSizeAnchor xmlns:cdr="http://schemas.openxmlformats.org/drawingml/2006/chartDrawing">
    <cdr:from>
      <cdr:x>0.11213</cdr:x>
      <cdr:y>0.39827</cdr:y>
    </cdr:from>
    <cdr:to>
      <cdr:x>0.81236</cdr:x>
      <cdr:y>0.39881</cdr:y>
    </cdr:to>
    <cdr:sp macro="" textlink="">
      <cdr:nvSpPr>
        <cdr:cNvPr id="10" name="Łącznik prosty 9"/>
        <cdr:cNvSpPr/>
      </cdr:nvSpPr>
      <cdr:spPr bwMode="auto">
        <a:xfrm xmlns:a="http://schemas.openxmlformats.org/drawingml/2006/main">
          <a:off x="622300" y="1168400"/>
          <a:ext cx="3886200" cy="1588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25400" cap="flat" cmpd="sng" algn="ctr">
          <a:solidFill>
            <a:srgbClr val="FF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0.11442</cdr:x>
      <cdr:y>0.63203</cdr:y>
    </cdr:from>
    <cdr:to>
      <cdr:x>0.82151</cdr:x>
      <cdr:y>0.63258</cdr:y>
    </cdr:to>
    <cdr:sp macro="" textlink="">
      <cdr:nvSpPr>
        <cdr:cNvPr id="12" name="Łącznik prosty 11"/>
        <cdr:cNvSpPr/>
      </cdr:nvSpPr>
      <cdr:spPr bwMode="auto">
        <a:xfrm xmlns:a="http://schemas.openxmlformats.org/drawingml/2006/main">
          <a:off x="635000" y="1854200"/>
          <a:ext cx="3924300" cy="1588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25400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0.12779</cdr:x>
      <cdr:y>0.83587</cdr:y>
    </cdr:from>
    <cdr:to>
      <cdr:x>0.32244</cdr:x>
      <cdr:y>0.90881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92201" y="3492500"/>
          <a:ext cx="1663699" cy="3047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0.38782</cdr:x>
      <cdr:y>0.83587</cdr:y>
    </cdr:from>
    <cdr:to>
      <cdr:x>0.59435</cdr:x>
      <cdr:y>0.89362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3314700" y="3492500"/>
          <a:ext cx="1765300" cy="241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0.65676</cdr:x>
      <cdr:y>0.83587</cdr:y>
    </cdr:from>
    <cdr:to>
      <cdr:x>0.86033</cdr:x>
      <cdr:y>0.8997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5613400" y="3492500"/>
          <a:ext cx="17399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0.83814</cdr:x>
      <cdr:y>0.32344</cdr:y>
    </cdr:from>
    <cdr:to>
      <cdr:x>1</cdr:x>
      <cdr:y>0.48281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4675923" y="938893"/>
          <a:ext cx="903005" cy="4626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/>
        <a:lstStyle xmlns:a="http://schemas.openxmlformats.org/drawingml/2006/main"/>
        <a:p xmlns:a="http://schemas.openxmlformats.org/drawingml/2006/main">
          <a:r>
            <a:rPr lang="pl-PL" sz="1000" b="1"/>
            <a:t>poziom</a:t>
          </a:r>
        </a:p>
        <a:p xmlns:a="http://schemas.openxmlformats.org/drawingml/2006/main">
          <a:r>
            <a:rPr lang="pl-PL" sz="1000" b="1"/>
            <a:t>zadowalający</a:t>
          </a:r>
        </a:p>
      </cdr:txBody>
    </cdr:sp>
  </cdr:relSizeAnchor>
  <cdr:relSizeAnchor xmlns:cdr="http://schemas.openxmlformats.org/drawingml/2006/chartDrawing">
    <cdr:from>
      <cdr:x>0.84257</cdr:x>
      <cdr:y>0.54844</cdr:y>
    </cdr:from>
    <cdr:to>
      <cdr:x>0.99257</cdr:x>
      <cdr:y>0.75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700637" y="1592035"/>
          <a:ext cx="836840" cy="5851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/>
        <a:lstStyle xmlns:a="http://schemas.openxmlformats.org/drawingml/2006/main"/>
        <a:p xmlns:a="http://schemas.openxmlformats.org/drawingml/2006/main">
          <a:r>
            <a:rPr lang="pl-PL" sz="1000" b="1"/>
            <a:t>poziom</a:t>
          </a:r>
        </a:p>
        <a:p xmlns:a="http://schemas.openxmlformats.org/drawingml/2006/main">
          <a:r>
            <a:rPr lang="pl-PL" sz="1000" b="1"/>
            <a:t>konieczny</a:t>
          </a:r>
        </a:p>
      </cdr:txBody>
    </cdr:sp>
  </cdr:relSizeAnchor>
  <cdr:relSizeAnchor xmlns:cdr="http://schemas.openxmlformats.org/drawingml/2006/chartDrawing">
    <cdr:from>
      <cdr:x>0.11416</cdr:x>
      <cdr:y>0.63203</cdr:y>
    </cdr:from>
    <cdr:to>
      <cdr:x>0.81963</cdr:x>
      <cdr:y>0.63258</cdr:y>
    </cdr:to>
    <cdr:sp macro="" textlink="">
      <cdr:nvSpPr>
        <cdr:cNvPr id="8" name="Łącznik prosty 7"/>
        <cdr:cNvSpPr/>
      </cdr:nvSpPr>
      <cdr:spPr bwMode="auto">
        <a:xfrm xmlns:a="http://schemas.openxmlformats.org/drawingml/2006/main">
          <a:off x="635000" y="1854200"/>
          <a:ext cx="3924300" cy="1588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25400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0.11356</cdr:x>
      <cdr:y>0.39896</cdr:y>
    </cdr:from>
    <cdr:to>
      <cdr:x>0.81538</cdr:x>
      <cdr:y>0.39896</cdr:y>
    </cdr:to>
    <cdr:sp macro="" textlink="">
      <cdr:nvSpPr>
        <cdr:cNvPr id="10" name="Łącznik prosty 9"/>
        <cdr:cNvSpPr/>
      </cdr:nvSpPr>
      <cdr:spPr bwMode="auto">
        <a:xfrm xmlns:a="http://schemas.openxmlformats.org/drawingml/2006/main">
          <a:off x="635000" y="1117600"/>
          <a:ext cx="3924300" cy="0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19050" cap="flat" cmpd="sng" algn="ctr">
          <a:solidFill>
            <a:srgbClr val="FF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0.12779</cdr:x>
      <cdr:y>0.83587</cdr:y>
    </cdr:from>
    <cdr:to>
      <cdr:x>0.32244</cdr:x>
      <cdr:y>0.90881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92201" y="3492500"/>
          <a:ext cx="1663699" cy="3047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0.38782</cdr:x>
      <cdr:y>0.83587</cdr:y>
    </cdr:from>
    <cdr:to>
      <cdr:x>0.59435</cdr:x>
      <cdr:y>0.89362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3314700" y="3492500"/>
          <a:ext cx="1765300" cy="241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0.65676</cdr:x>
      <cdr:y>0.83587</cdr:y>
    </cdr:from>
    <cdr:to>
      <cdr:x>0.86033</cdr:x>
      <cdr:y>0.8997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5613400" y="3492500"/>
          <a:ext cx="17399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0.83814</cdr:x>
      <cdr:y>0.32813</cdr:y>
    </cdr:from>
    <cdr:to>
      <cdr:x>1</cdr:x>
      <cdr:y>0.48281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4675923" y="952501"/>
          <a:ext cx="903005" cy="449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/>
        <a:lstStyle xmlns:a="http://schemas.openxmlformats.org/drawingml/2006/main"/>
        <a:p xmlns:a="http://schemas.openxmlformats.org/drawingml/2006/main">
          <a:r>
            <a:rPr lang="pl-PL" sz="1000" b="1"/>
            <a:t>poziom</a:t>
          </a:r>
        </a:p>
        <a:p xmlns:a="http://schemas.openxmlformats.org/drawingml/2006/main">
          <a:r>
            <a:rPr lang="pl-PL" sz="1000" b="1"/>
            <a:t>zadowalający</a:t>
          </a:r>
        </a:p>
      </cdr:txBody>
    </cdr:sp>
  </cdr:relSizeAnchor>
  <cdr:relSizeAnchor xmlns:cdr="http://schemas.openxmlformats.org/drawingml/2006/chartDrawing">
    <cdr:from>
      <cdr:x>0.84257</cdr:x>
      <cdr:y>0.56719</cdr:y>
    </cdr:from>
    <cdr:to>
      <cdr:x>0.99257</cdr:x>
      <cdr:y>0.73125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700637" y="1646464"/>
          <a:ext cx="836840" cy="476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/>
        <a:lstStyle xmlns:a="http://schemas.openxmlformats.org/drawingml/2006/main"/>
        <a:p xmlns:a="http://schemas.openxmlformats.org/drawingml/2006/main">
          <a:r>
            <a:rPr lang="pl-PL" sz="1000" b="1"/>
            <a:t>poziom</a:t>
          </a:r>
        </a:p>
        <a:p xmlns:a="http://schemas.openxmlformats.org/drawingml/2006/main">
          <a:r>
            <a:rPr lang="pl-PL" sz="1000" b="1"/>
            <a:t>konieczny</a:t>
          </a:r>
        </a:p>
      </cdr:txBody>
    </cdr:sp>
  </cdr:relSizeAnchor>
  <cdr:relSizeAnchor xmlns:cdr="http://schemas.openxmlformats.org/drawingml/2006/chartDrawing">
    <cdr:from>
      <cdr:x>0.11129</cdr:x>
      <cdr:y>0.62565</cdr:y>
    </cdr:from>
    <cdr:to>
      <cdr:x>0.81538</cdr:x>
      <cdr:y>0.63018</cdr:y>
    </cdr:to>
    <cdr:sp macro="" textlink="">
      <cdr:nvSpPr>
        <cdr:cNvPr id="8" name="Łącznik prosty 7"/>
        <cdr:cNvSpPr/>
      </cdr:nvSpPr>
      <cdr:spPr bwMode="auto">
        <a:xfrm xmlns:a="http://schemas.openxmlformats.org/drawingml/2006/main" flipV="1">
          <a:off x="622300" y="1752600"/>
          <a:ext cx="3937000" cy="12700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19050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0.11356</cdr:x>
      <cdr:y>0.39443</cdr:y>
    </cdr:from>
    <cdr:to>
      <cdr:x>0.81538</cdr:x>
      <cdr:y>0.39896</cdr:y>
    </cdr:to>
    <cdr:sp macro="" textlink="">
      <cdr:nvSpPr>
        <cdr:cNvPr id="10" name="Łącznik prosty 9"/>
        <cdr:cNvSpPr/>
      </cdr:nvSpPr>
      <cdr:spPr bwMode="auto">
        <a:xfrm xmlns:a="http://schemas.openxmlformats.org/drawingml/2006/main" flipV="1">
          <a:off x="635000" y="1104900"/>
          <a:ext cx="3924300" cy="12700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19050" cap="flat" cmpd="sng" algn="ctr">
          <a:solidFill>
            <a:srgbClr val="FF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0.09064</cdr:x>
      <cdr:y>0.84476</cdr:y>
    </cdr:from>
    <cdr:to>
      <cdr:x>0.24672</cdr:x>
      <cdr:y>0.92604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650864" y="3653268"/>
          <a:ext cx="1120786" cy="3515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pl-PL" sz="1200" b="1"/>
            <a:t>Gim. nr 1</a:t>
          </a:r>
        </a:p>
      </cdr:txBody>
    </cdr:sp>
  </cdr:relSizeAnchor>
  <cdr:relSizeAnchor xmlns:cdr="http://schemas.openxmlformats.org/drawingml/2006/chartDrawing">
    <cdr:from>
      <cdr:x>0.3125</cdr:x>
      <cdr:y>0.84452</cdr:y>
    </cdr:from>
    <cdr:to>
      <cdr:x>0.44614</cdr:x>
      <cdr:y>0.92282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800225" y="2841696"/>
          <a:ext cx="769863" cy="2634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pl-PL" sz="1200" b="1"/>
            <a:t>Gim.</a:t>
          </a:r>
          <a:r>
            <a:rPr lang="pl-PL" sz="1200" b="1" baseline="0"/>
            <a:t> nr 2</a:t>
          </a:r>
          <a:endParaRPr lang="pl-PL" sz="1200" b="1"/>
        </a:p>
      </cdr:txBody>
    </cdr:sp>
  </cdr:relSizeAnchor>
  <cdr:relSizeAnchor xmlns:cdr="http://schemas.openxmlformats.org/drawingml/2006/chartDrawing">
    <cdr:from>
      <cdr:x>0.50936</cdr:x>
      <cdr:y>0.84452</cdr:y>
    </cdr:from>
    <cdr:to>
      <cdr:x>0.7972</cdr:x>
      <cdr:y>0.92455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3657600" y="3542294"/>
          <a:ext cx="2066903" cy="3356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pl-PL" sz="1200" b="1"/>
            <a:t>Gim. nr 3</a:t>
          </a:r>
        </a:p>
      </cdr:txBody>
    </cdr:sp>
  </cdr:relSizeAnchor>
  <cdr:relSizeAnchor xmlns:cdr="http://schemas.openxmlformats.org/drawingml/2006/chartDrawing">
    <cdr:from>
      <cdr:x>0.89716</cdr:x>
      <cdr:y>0.18716</cdr:y>
    </cdr:from>
    <cdr:to>
      <cdr:x>0.99705</cdr:x>
      <cdr:y>0.32777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7734300" y="660400"/>
          <a:ext cx="863600" cy="508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/>
        <a:lstStyle xmlns:a="http://schemas.openxmlformats.org/drawingml/2006/main"/>
        <a:p xmlns:a="http://schemas.openxmlformats.org/drawingml/2006/main">
          <a:endParaRPr lang="pl-PL" sz="1200" b="1"/>
        </a:p>
      </cdr:txBody>
    </cdr:sp>
  </cdr:relSizeAnchor>
  <cdr:relSizeAnchor xmlns:cdr="http://schemas.openxmlformats.org/drawingml/2006/chartDrawing">
    <cdr:from>
      <cdr:x>0.88782</cdr:x>
      <cdr:y>0.36542</cdr:y>
    </cdr:from>
    <cdr:to>
      <cdr:x>0.98847</cdr:x>
      <cdr:y>0.53783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7658100" y="1308100"/>
          <a:ext cx="863600" cy="622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pl-PL" sz="1200" b="1"/>
        </a:p>
      </cdr:txBody>
    </cdr:sp>
  </cdr:relSizeAnchor>
  <cdr:relSizeAnchor xmlns:cdr="http://schemas.openxmlformats.org/drawingml/2006/chartDrawing">
    <cdr:from>
      <cdr:x>0.06317</cdr:x>
      <cdr:y>0.369</cdr:y>
    </cdr:from>
    <cdr:to>
      <cdr:x>0.88115</cdr:x>
      <cdr:y>0.36939</cdr:y>
    </cdr:to>
    <cdr:sp macro="" textlink="">
      <cdr:nvSpPr>
        <cdr:cNvPr id="8" name="Łącznik prosty 7"/>
        <cdr:cNvSpPr/>
      </cdr:nvSpPr>
      <cdr:spPr bwMode="auto">
        <a:xfrm xmlns:a="http://schemas.openxmlformats.org/drawingml/2006/main">
          <a:off x="453619" y="1547748"/>
          <a:ext cx="5873719" cy="1636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22225" cap="flat" cmpd="sng" algn="ctr">
          <a:solidFill>
            <a:srgbClr val="FF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0.06317</cdr:x>
      <cdr:y>0.56095</cdr:y>
    </cdr:from>
    <cdr:to>
      <cdr:x>0.8796</cdr:x>
      <cdr:y>0.56767</cdr:y>
    </cdr:to>
    <cdr:sp macro="" textlink="">
      <cdr:nvSpPr>
        <cdr:cNvPr id="10" name="Łącznik prosty 9"/>
        <cdr:cNvSpPr/>
      </cdr:nvSpPr>
      <cdr:spPr bwMode="auto">
        <a:xfrm xmlns:a="http://schemas.openxmlformats.org/drawingml/2006/main">
          <a:off x="453619" y="2352874"/>
          <a:ext cx="5862588" cy="28186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222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0.89315</cdr:x>
      <cdr:y>0.37242</cdr:y>
    </cdr:from>
    <cdr:to>
      <cdr:x>0.97628</cdr:x>
      <cdr:y>0.48748</cdr:y>
    </cdr:to>
    <cdr:sp macro="" textlink="">
      <cdr:nvSpPr>
        <cdr:cNvPr id="11" name="pole tekstowe 10"/>
        <cdr:cNvSpPr txBox="1"/>
      </cdr:nvSpPr>
      <cdr:spPr>
        <a:xfrm xmlns:a="http://schemas.openxmlformats.org/drawingml/2006/main">
          <a:off x="6413500" y="1562100"/>
          <a:ext cx="596900" cy="482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0.12779</cdr:x>
      <cdr:y>0.83587</cdr:y>
    </cdr:from>
    <cdr:to>
      <cdr:x>0.32244</cdr:x>
      <cdr:y>0.90881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92201" y="3492500"/>
          <a:ext cx="1663699" cy="3047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0.38782</cdr:x>
      <cdr:y>0.83587</cdr:y>
    </cdr:from>
    <cdr:to>
      <cdr:x>0.59435</cdr:x>
      <cdr:y>0.89362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3314700" y="3492500"/>
          <a:ext cx="1765300" cy="241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0.65676</cdr:x>
      <cdr:y>0.83587</cdr:y>
    </cdr:from>
    <cdr:to>
      <cdr:x>0.86033</cdr:x>
      <cdr:y>0.8997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5613400" y="3492500"/>
          <a:ext cx="17399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endParaRPr lang="pl-PL" sz="1200" b="1"/>
        </a:p>
      </cdr:txBody>
    </cdr:sp>
  </cdr:relSizeAnchor>
  <cdr:relSizeAnchor xmlns:cdr="http://schemas.openxmlformats.org/drawingml/2006/chartDrawing">
    <cdr:from>
      <cdr:x>0.83814</cdr:x>
      <cdr:y>0.31169</cdr:y>
    </cdr:from>
    <cdr:to>
      <cdr:x>1</cdr:x>
      <cdr:y>0.50649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4651593" y="914400"/>
          <a:ext cx="898307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/>
        <a:lstStyle xmlns:a="http://schemas.openxmlformats.org/drawingml/2006/main"/>
        <a:p xmlns:a="http://schemas.openxmlformats.org/drawingml/2006/main">
          <a:r>
            <a:rPr lang="pl-PL" sz="1000" b="1"/>
            <a:t>poziom</a:t>
          </a:r>
        </a:p>
        <a:p xmlns:a="http://schemas.openxmlformats.org/drawingml/2006/main">
          <a:r>
            <a:rPr lang="pl-PL" sz="1000" b="1"/>
            <a:t>zadowalający</a:t>
          </a:r>
        </a:p>
      </cdr:txBody>
    </cdr:sp>
  </cdr:relSizeAnchor>
  <cdr:relSizeAnchor xmlns:cdr="http://schemas.openxmlformats.org/drawingml/2006/chartDrawing">
    <cdr:from>
      <cdr:x>0.84257</cdr:x>
      <cdr:y>0.56277</cdr:y>
    </cdr:from>
    <cdr:to>
      <cdr:x>0.99257</cdr:x>
      <cdr:y>0.75758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676179" y="1651000"/>
          <a:ext cx="832485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/>
        <a:lstStyle xmlns:a="http://schemas.openxmlformats.org/drawingml/2006/main"/>
        <a:p xmlns:a="http://schemas.openxmlformats.org/drawingml/2006/main">
          <a:r>
            <a:rPr lang="pl-PL" sz="1000" b="1"/>
            <a:t>poziom</a:t>
          </a:r>
        </a:p>
        <a:p xmlns:a="http://schemas.openxmlformats.org/drawingml/2006/main">
          <a:r>
            <a:rPr lang="pl-PL" sz="1000" b="1"/>
            <a:t>konieczny</a:t>
          </a:r>
        </a:p>
      </cdr:txBody>
    </cdr:sp>
  </cdr:relSizeAnchor>
  <cdr:relSizeAnchor xmlns:cdr="http://schemas.openxmlformats.org/drawingml/2006/chartDrawing">
    <cdr:from>
      <cdr:x>0.11442</cdr:x>
      <cdr:y>0.39827</cdr:y>
    </cdr:from>
    <cdr:to>
      <cdr:x>0.81922</cdr:x>
      <cdr:y>0.39881</cdr:y>
    </cdr:to>
    <cdr:sp macro="" textlink="">
      <cdr:nvSpPr>
        <cdr:cNvPr id="8" name="Łącznik prosty 7"/>
        <cdr:cNvSpPr/>
      </cdr:nvSpPr>
      <cdr:spPr bwMode="auto">
        <a:xfrm xmlns:a="http://schemas.openxmlformats.org/drawingml/2006/main">
          <a:off x="635000" y="1168400"/>
          <a:ext cx="3911600" cy="1588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25400" cap="flat" cmpd="sng" algn="ctr">
          <a:solidFill>
            <a:srgbClr val="FF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0.11213</cdr:x>
      <cdr:y>0.63203</cdr:y>
    </cdr:from>
    <cdr:to>
      <cdr:x>0.81693</cdr:x>
      <cdr:y>0.63258</cdr:y>
    </cdr:to>
    <cdr:sp macro="" textlink="">
      <cdr:nvSpPr>
        <cdr:cNvPr id="10" name="Łącznik prosty 9"/>
        <cdr:cNvSpPr/>
      </cdr:nvSpPr>
      <cdr:spPr bwMode="auto">
        <a:xfrm xmlns:a="http://schemas.openxmlformats.org/drawingml/2006/main">
          <a:off x="622300" y="1854200"/>
          <a:ext cx="3911600" cy="1588"/>
        </a:xfrm>
        <a:prstGeom xmlns:a="http://schemas.openxmlformats.org/drawingml/2006/main" prst="line">
          <a:avLst/>
        </a:prstGeom>
        <a:solidFill xmlns:a="http://schemas.openxmlformats.org/drawingml/2006/main">
          <a:srgbClr val="FFFFFF"/>
        </a:solidFill>
        <a:ln xmlns:a="http://schemas.openxmlformats.org/drawingml/2006/main" w="25400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866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Niepsuj</dc:creator>
  <cp:keywords/>
  <dc:description/>
  <cp:lastModifiedBy>Mirosław Niepsuj</cp:lastModifiedBy>
  <cp:revision>1</cp:revision>
  <dcterms:created xsi:type="dcterms:W3CDTF">2015-12-09T10:04:00Z</dcterms:created>
  <dcterms:modified xsi:type="dcterms:W3CDTF">2015-12-09T10:10:00Z</dcterms:modified>
</cp:coreProperties>
</file>